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BF7" w:rsidRDefault="00AA1BF7" w:rsidP="00214949">
      <w:pPr>
        <w:spacing w:after="0"/>
        <w:jc w:val="both"/>
        <w:rPr>
          <w:rFonts w:cstheme="minorHAnsi"/>
          <w:sz w:val="24"/>
          <w:szCs w:val="24"/>
        </w:rPr>
      </w:pPr>
    </w:p>
    <w:p w:rsidR="00704FE8" w:rsidRPr="003A4434" w:rsidRDefault="00704FE8" w:rsidP="00214949">
      <w:pPr>
        <w:spacing w:after="0"/>
        <w:jc w:val="both"/>
        <w:rPr>
          <w:rFonts w:cstheme="minorHAnsi"/>
          <w:sz w:val="24"/>
          <w:szCs w:val="24"/>
        </w:rPr>
      </w:pPr>
    </w:p>
    <w:p w:rsidR="002049EF" w:rsidRPr="001C177A" w:rsidRDefault="001C177A" w:rsidP="00214949">
      <w:pPr>
        <w:spacing w:after="0"/>
        <w:jc w:val="center"/>
        <w:rPr>
          <w:rFonts w:cstheme="minorHAnsi"/>
          <w:b/>
          <w:sz w:val="28"/>
          <w:szCs w:val="24"/>
          <w:lang w:val="ru-RU"/>
        </w:rPr>
      </w:pPr>
      <w:r>
        <w:rPr>
          <w:rFonts w:cs="Times New Roman"/>
          <w:b/>
          <w:sz w:val="28"/>
          <w:szCs w:val="24"/>
        </w:rPr>
        <w:t>UR</w:t>
      </w:r>
      <w:r w:rsidRPr="001C177A">
        <w:rPr>
          <w:rFonts w:cs="Times New Roman"/>
          <w:b/>
          <w:sz w:val="28"/>
          <w:szCs w:val="24"/>
          <w:lang w:val="ru-RU"/>
        </w:rPr>
        <w:t>-100</w:t>
      </w:r>
      <w:r>
        <w:rPr>
          <w:rFonts w:cs="Times New Roman"/>
          <w:b/>
          <w:sz w:val="28"/>
          <w:szCs w:val="24"/>
        </w:rPr>
        <w:t>V</w:t>
      </w:r>
      <w:r w:rsidRPr="001C177A">
        <w:rPr>
          <w:rFonts w:cs="Times New Roman"/>
          <w:b/>
          <w:sz w:val="28"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4"/>
        </w:rPr>
        <w:t>UltraViolet</w:t>
      </w:r>
      <w:proofErr w:type="spellEnd"/>
      <w:r w:rsidRPr="001C177A">
        <w:rPr>
          <w:rFonts w:cs="Times New Roman"/>
          <w:b/>
          <w:sz w:val="28"/>
          <w:szCs w:val="24"/>
          <w:lang w:val="ru-RU"/>
        </w:rPr>
        <w:t xml:space="preserve"> компании </w:t>
      </w:r>
      <w:proofErr w:type="spellStart"/>
      <w:proofErr w:type="gramStart"/>
      <w:r>
        <w:rPr>
          <w:rFonts w:cs="Times New Roman"/>
          <w:b/>
          <w:sz w:val="28"/>
          <w:szCs w:val="24"/>
        </w:rPr>
        <w:t>URWERK</w:t>
      </w:r>
      <w:proofErr w:type="spellEnd"/>
      <w:r w:rsidRPr="001C177A">
        <w:rPr>
          <w:rFonts w:cs="Times New Roman"/>
          <w:b/>
          <w:sz w:val="28"/>
          <w:szCs w:val="24"/>
          <w:lang w:val="ru-RU"/>
        </w:rPr>
        <w:t>:</w:t>
      </w:r>
      <w:proofErr w:type="gramEnd"/>
      <w:r w:rsidRPr="001C177A">
        <w:rPr>
          <w:rFonts w:cs="Times New Roman"/>
          <w:b/>
          <w:sz w:val="28"/>
          <w:szCs w:val="24"/>
          <w:lang w:val="ru-RU"/>
        </w:rPr>
        <w:t xml:space="preserve"> игра с цветом</w:t>
      </w:r>
    </w:p>
    <w:p w:rsidR="00421C1F" w:rsidRPr="001C177A" w:rsidRDefault="00421C1F" w:rsidP="00214949">
      <w:pPr>
        <w:spacing w:after="0"/>
        <w:jc w:val="both"/>
        <w:rPr>
          <w:rFonts w:cstheme="minorHAnsi"/>
          <w:sz w:val="24"/>
          <w:szCs w:val="24"/>
          <w:lang w:val="ru-RU"/>
        </w:rPr>
      </w:pPr>
    </w:p>
    <w:p w:rsidR="006641B7" w:rsidRPr="001C177A" w:rsidRDefault="006641B7" w:rsidP="00214949">
      <w:pPr>
        <w:spacing w:after="0"/>
        <w:jc w:val="both"/>
        <w:rPr>
          <w:rFonts w:cstheme="minorHAnsi"/>
          <w:sz w:val="24"/>
          <w:szCs w:val="24"/>
          <w:lang w:val="ru-RU"/>
        </w:rPr>
      </w:pPr>
    </w:p>
    <w:p w:rsidR="001C177A" w:rsidRPr="001C177A" w:rsidRDefault="001C177A" w:rsidP="001C177A">
      <w:pPr>
        <w:spacing w:after="0"/>
        <w:jc w:val="both"/>
        <w:rPr>
          <w:rFonts w:eastAsia="Times New Roman" w:cs="Times New Roman"/>
          <w:sz w:val="24"/>
          <w:szCs w:val="24"/>
          <w:lang w:val="ru-RU"/>
        </w:rPr>
      </w:pPr>
      <w:r w:rsidRPr="001C177A">
        <w:rPr>
          <w:rFonts w:eastAsia="Times New Roman" w:cs="Times New Roman"/>
          <w:sz w:val="24"/>
          <w:szCs w:val="24"/>
          <w:lang w:val="ru-RU"/>
        </w:rPr>
        <w:t>Женева, 15 августа 2022 года.</w:t>
      </w:r>
    </w:p>
    <w:p w:rsidR="001C177A" w:rsidRPr="001C177A" w:rsidRDefault="001C177A" w:rsidP="001C177A">
      <w:pPr>
        <w:spacing w:after="0"/>
        <w:jc w:val="both"/>
        <w:rPr>
          <w:rFonts w:eastAsia="Times New Roman" w:cs="Times New Roman"/>
          <w:sz w:val="24"/>
          <w:szCs w:val="24"/>
          <w:lang w:val="ru-RU"/>
        </w:rPr>
      </w:pPr>
      <w:r w:rsidRPr="001C177A">
        <w:rPr>
          <w:rFonts w:eastAsia="Times New Roman" w:cs="Times New Roman"/>
          <w:sz w:val="24"/>
          <w:szCs w:val="24"/>
          <w:lang w:val="ru-RU"/>
        </w:rPr>
        <w:t>Фиолетовый! Этот</w:t>
      </w:r>
      <w:r>
        <w:rPr>
          <w:rFonts w:eastAsia="Times New Roman" w:cs="Times New Roman"/>
          <w:sz w:val="24"/>
          <w:szCs w:val="24"/>
          <w:lang w:val="ru-RU"/>
        </w:rPr>
        <w:t xml:space="preserve"> «</w:t>
      </w:r>
      <w:r w:rsidRPr="001C177A">
        <w:rPr>
          <w:rFonts w:eastAsia="Times New Roman" w:cs="Times New Roman"/>
          <w:sz w:val="24"/>
          <w:szCs w:val="24"/>
          <w:lang w:val="ru-RU"/>
        </w:rPr>
        <w:t>королевский</w:t>
      </w:r>
      <w:r>
        <w:rPr>
          <w:rFonts w:eastAsia="Times New Roman" w:cs="Times New Roman"/>
          <w:sz w:val="24"/>
          <w:szCs w:val="24"/>
          <w:lang w:val="ru-RU"/>
        </w:rPr>
        <w:t xml:space="preserve">» </w:t>
      </w:r>
      <w:r w:rsidRPr="001C177A">
        <w:rPr>
          <w:rFonts w:eastAsia="Times New Roman" w:cs="Times New Roman"/>
          <w:sz w:val="24"/>
          <w:szCs w:val="24"/>
          <w:lang w:val="ru-RU"/>
        </w:rPr>
        <w:t>оттенок располагается на самом краю воспринимаемого человеческим глазом цветового спектра. По ту сторону фиолетового мы оказываемся за гранью цветового поля. Фиолето</w:t>
      </w:r>
      <w:bookmarkStart w:id="0" w:name="_GoBack"/>
      <w:bookmarkEnd w:id="0"/>
      <w:r w:rsidRPr="001C177A">
        <w:rPr>
          <w:rFonts w:eastAsia="Times New Roman" w:cs="Times New Roman"/>
          <w:sz w:val="24"/>
          <w:szCs w:val="24"/>
          <w:lang w:val="ru-RU"/>
        </w:rPr>
        <w:t>вый</w:t>
      </w:r>
      <w:r>
        <w:rPr>
          <w:rFonts w:eastAsia="Times New Roman" w:cs="Times New Roman"/>
          <w:sz w:val="24"/>
          <w:szCs w:val="24"/>
          <w:lang w:val="ru-RU"/>
        </w:rPr>
        <w:t xml:space="preserve"> –</w:t>
      </w:r>
      <w:r w:rsidRPr="001C177A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DD598A">
        <w:rPr>
          <w:rFonts w:eastAsia="Times New Roman" w:cs="Times New Roman"/>
          <w:sz w:val="24"/>
          <w:szCs w:val="24"/>
          <w:lang w:val="ru-RU"/>
        </w:rPr>
        <w:t>идеальный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1C177A">
        <w:rPr>
          <w:rFonts w:eastAsia="Times New Roman" w:cs="Times New Roman"/>
          <w:sz w:val="24"/>
          <w:szCs w:val="24"/>
          <w:lang w:val="ru-RU"/>
        </w:rPr>
        <w:t>оттенок, цвет супергероев, аутсайдеров и</w:t>
      </w:r>
      <w:r w:rsidR="008F5621" w:rsidRPr="00A65952">
        <w:rPr>
          <w:rFonts w:eastAsia="Times New Roman" w:cs="Times New Roman"/>
          <w:sz w:val="24"/>
          <w:szCs w:val="24"/>
          <w:lang w:val="ru-RU"/>
        </w:rPr>
        <w:t xml:space="preserve"> </w:t>
      </w:r>
      <w:r w:rsidR="008F5621">
        <w:rPr>
          <w:rFonts w:eastAsia="Times New Roman" w:cs="Times New Roman"/>
          <w:sz w:val="24"/>
          <w:szCs w:val="24"/>
          <w:lang w:val="ru-RU"/>
        </w:rPr>
        <w:t>эпатажных</w:t>
      </w:r>
      <w:r w:rsidRPr="001C177A">
        <w:rPr>
          <w:rFonts w:eastAsia="Times New Roman" w:cs="Times New Roman"/>
          <w:sz w:val="24"/>
          <w:szCs w:val="24"/>
          <w:lang w:val="ru-RU"/>
        </w:rPr>
        <w:t>. Герои или</w:t>
      </w:r>
      <w:r w:rsidR="00DD598A">
        <w:rPr>
          <w:rFonts w:eastAsia="Times New Roman" w:cs="Times New Roman"/>
          <w:sz w:val="24"/>
          <w:szCs w:val="24"/>
          <w:lang w:val="fr-FR"/>
        </w:rPr>
        <w:t xml:space="preserve"> </w:t>
      </w:r>
      <w:r w:rsidR="00DD598A">
        <w:rPr>
          <w:rFonts w:eastAsia="Times New Roman" w:cs="Times New Roman"/>
          <w:sz w:val="24"/>
          <w:szCs w:val="24"/>
          <w:lang w:val="ru-RU"/>
        </w:rPr>
        <w:t>злодеи</w:t>
      </w:r>
      <w:r w:rsidRPr="001C177A">
        <w:rPr>
          <w:rFonts w:eastAsia="Times New Roman" w:cs="Times New Roman"/>
          <w:sz w:val="24"/>
          <w:szCs w:val="24"/>
          <w:lang w:val="ru-RU"/>
        </w:rPr>
        <w:t>? Не имеет значения. Если нужно заявить о себе, это будет сделано в фиолетовом!</w:t>
      </w:r>
    </w:p>
    <w:p w:rsidR="00F013F4" w:rsidRPr="008F5621" w:rsidRDefault="00F013F4" w:rsidP="002149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fr-CH"/>
        </w:rPr>
      </w:pPr>
    </w:p>
    <w:p w:rsidR="00F013F4" w:rsidRDefault="00D17E17" w:rsidP="0021494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CH"/>
        </w:rPr>
      </w:pPr>
      <w:r>
        <w:rPr>
          <w:rFonts w:eastAsia="Times New Roman" w:cstheme="minorHAnsi"/>
          <w:sz w:val="24"/>
          <w:szCs w:val="24"/>
          <w:lang w:eastAsia="fr-CH"/>
        </w:rPr>
        <w:t>(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eastAsia="fr-CH"/>
        </w:rPr>
        <w:t>moodboard</w:t>
      </w:r>
      <w:proofErr w:type="spellEnd"/>
      <w:proofErr w:type="gramEnd"/>
      <w:r>
        <w:rPr>
          <w:rFonts w:eastAsia="Times New Roman" w:cstheme="minorHAnsi"/>
          <w:sz w:val="24"/>
          <w:szCs w:val="24"/>
          <w:lang w:eastAsia="fr-CH"/>
        </w:rPr>
        <w:t>)</w:t>
      </w:r>
    </w:p>
    <w:p w:rsidR="00CA0E5A" w:rsidRDefault="00CA0E5A" w:rsidP="0021494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CH"/>
        </w:rPr>
      </w:pPr>
    </w:p>
    <w:p w:rsidR="00CA0E5A" w:rsidRPr="00465B8D" w:rsidRDefault="00CA0E5A" w:rsidP="0021494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CH"/>
        </w:rPr>
      </w:pPr>
    </w:p>
    <w:p w:rsidR="008B325E" w:rsidRDefault="00FE763A" w:rsidP="00214949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1336254" cy="2376000"/>
            <wp:effectExtent l="0" t="0" r="0" b="5715"/>
            <wp:docPr id="3" name="Image 3" descr="HD black panther purple wallpapers | Peak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D black panther purple wallpapers | Peak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254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949">
        <w:rPr>
          <w:rFonts w:cstheme="minorHAnsi"/>
          <w:sz w:val="24"/>
          <w:szCs w:val="24"/>
        </w:rPr>
        <w:t xml:space="preserve">  </w:t>
      </w:r>
      <w:r w:rsidR="00CA0E5A">
        <w:rPr>
          <w:noProof/>
        </w:rPr>
        <w:drawing>
          <wp:inline distT="0" distB="0" distL="0" distR="0" wp14:anchorId="743B476C" wp14:editId="212FFF02">
            <wp:extent cx="1858554" cy="2176375"/>
            <wp:effectExtent l="0" t="0" r="8890" b="0"/>
            <wp:docPr id="16" name="Image 16" descr="Purple, Prince, Pantone and Microsoft Office - Office W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urple, Prince, Pantone and Microsoft Office - Office Wa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52" cy="218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949">
        <w:rPr>
          <w:rFonts w:cstheme="minorHAnsi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2381250" cy="2381250"/>
            <wp:effectExtent l="0" t="0" r="0" b="0"/>
            <wp:docPr id="6" name="Image 6" descr="Beast Kingdom DAH Joker 1989 Action Figure DAH-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ast Kingdom DAH Joker 1989 Action Figure DAH-0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586" cy="238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25E" w:rsidRDefault="003C0AF2" w:rsidP="00214949">
      <w:pPr>
        <w:autoSpaceDE w:val="0"/>
        <w:autoSpaceDN w:val="0"/>
        <w:adjustRightInd w:val="0"/>
        <w:jc w:val="center"/>
        <w:rPr>
          <w:rFonts w:cstheme="minorHAnsi"/>
          <w:noProof/>
        </w:rPr>
      </w:pPr>
      <w:r>
        <w:rPr>
          <w:noProof/>
        </w:rPr>
        <w:drawing>
          <wp:inline distT="0" distB="0" distL="0" distR="0">
            <wp:extent cx="2628000" cy="1475672"/>
            <wp:effectExtent l="0" t="0" r="1270" b="0"/>
            <wp:docPr id="10" name="Image 10" descr="https://www.comicbasics.com/wp-content/uploads/2020/04/Origin-of-The-Incredible-Hulk-1024x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comicbasics.com/wp-content/uploads/2020/04/Origin-of-The-Incredible-Hulk-1024x5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47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949">
        <w:rPr>
          <w:rFonts w:cstheme="minorHAnsi"/>
          <w:noProof/>
        </w:rPr>
        <w:t xml:space="preserve">     </w:t>
      </w:r>
      <w:r>
        <w:rPr>
          <w:noProof/>
        </w:rPr>
        <w:drawing>
          <wp:inline distT="0" distB="0" distL="0" distR="0">
            <wp:extent cx="2631508" cy="1477645"/>
            <wp:effectExtent l="0" t="0" r="0" b="8255"/>
            <wp:docPr id="12" name="Image 12" descr="Barbara Gordon First Appea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rbara Gordon First Appeara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80" cy="149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AF2" w:rsidRDefault="003C0AF2" w:rsidP="00214949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2628000" cy="1476554"/>
            <wp:effectExtent l="0" t="0" r="1270" b="0"/>
            <wp:docPr id="11" name="Image 11" descr="Origin of Med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rigin of Medus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47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949">
        <w:rPr>
          <w:rFonts w:cstheme="minorHAnsi"/>
          <w:noProof/>
        </w:rPr>
        <w:t xml:space="preserve">     </w:t>
      </w:r>
      <w:r w:rsidR="00FE763A">
        <w:rPr>
          <w:rFonts w:cstheme="minorHAnsi"/>
          <w:noProof/>
        </w:rPr>
        <w:drawing>
          <wp:inline distT="0" distB="0" distL="0" distR="0">
            <wp:extent cx="2628000" cy="1475367"/>
            <wp:effectExtent l="0" t="0" r="1270" b="0"/>
            <wp:docPr id="1" name="Image 1" descr="C:\Users\YS\AppData\Local\Microsoft\Windows\INetCache\Content.MSO\FFBFAB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\AppData\Local\Microsoft\Windows\INetCache\Content.MSO\FFBFAB9D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47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63A" w:rsidRDefault="00FE763A" w:rsidP="00214949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</w:p>
    <w:p w:rsidR="00FE763A" w:rsidRDefault="00214949" w:rsidP="00214949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756B6F">
        <w:rPr>
          <w:noProof/>
        </w:rPr>
        <w:drawing>
          <wp:inline distT="0" distB="0" distL="0" distR="0">
            <wp:extent cx="1762125" cy="175632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924" cy="176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</w:t>
      </w:r>
      <w:r w:rsidR="00756B6F">
        <w:rPr>
          <w:rFonts w:cstheme="minorHAnsi"/>
          <w:noProof/>
        </w:rPr>
        <w:drawing>
          <wp:inline distT="0" distB="0" distL="0" distR="0" wp14:anchorId="4C9E7F4B" wp14:editId="7786494B">
            <wp:extent cx="2133600" cy="1198816"/>
            <wp:effectExtent l="0" t="0" r="0" b="1905"/>
            <wp:docPr id="15" name="Image 15" descr="C:\Users\YS\AppData\Local\Microsoft\Windows\INetCache\Content.MSO\513984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YS\AppData\Local\Microsoft\Windows\INetCache\Content.MSO\5139848D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709" cy="120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B6F">
        <w:rPr>
          <w:rFonts w:cstheme="minorHAnsi"/>
          <w:sz w:val="24"/>
          <w:szCs w:val="24"/>
        </w:rPr>
        <w:t xml:space="preserve">   </w:t>
      </w:r>
      <w:r w:rsidR="00756B6F">
        <w:rPr>
          <w:noProof/>
        </w:rPr>
        <w:drawing>
          <wp:inline distT="0" distB="0" distL="0" distR="0" wp14:anchorId="434C92CE" wp14:editId="7B5084FC">
            <wp:extent cx="1333878" cy="174145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5335" cy="182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  </w:t>
      </w:r>
    </w:p>
    <w:p w:rsidR="005A64D7" w:rsidRDefault="005A64D7" w:rsidP="002149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CH"/>
        </w:rPr>
      </w:pPr>
    </w:p>
    <w:p w:rsidR="001C177A" w:rsidRPr="001C177A" w:rsidRDefault="001C177A" w:rsidP="002149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fr-CH"/>
        </w:rPr>
      </w:pPr>
      <w:r w:rsidRPr="001C177A">
        <w:rPr>
          <w:rFonts w:eastAsia="Times New Roman" w:cs="Times New Roman"/>
          <w:sz w:val="24"/>
          <w:szCs w:val="24"/>
          <w:lang w:val="ru-RU"/>
        </w:rPr>
        <w:t xml:space="preserve">Мартин Фрай рассказывает нам об этом своеобразном, по его мнению, оттенке: «Мне нравится тот факт, что цвет </w:t>
      </w:r>
      <w:r>
        <w:rPr>
          <w:rFonts w:eastAsia="Times New Roman" w:cs="Times New Roman"/>
          <w:sz w:val="24"/>
          <w:szCs w:val="24"/>
          <w:lang w:val="ru-RU" w:eastAsia="fr-FR"/>
        </w:rPr>
        <w:t>–</w:t>
      </w:r>
      <w:r w:rsidRPr="001C177A">
        <w:rPr>
          <w:rFonts w:eastAsia="Times New Roman" w:cs="Times New Roman"/>
          <w:sz w:val="24"/>
          <w:szCs w:val="24"/>
          <w:lang w:val="ru-RU"/>
        </w:rPr>
        <w:t xml:space="preserve"> это</w:t>
      </w:r>
      <w:r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1C177A">
        <w:rPr>
          <w:rFonts w:eastAsia="Times New Roman" w:cs="Times New Roman"/>
          <w:sz w:val="24"/>
          <w:szCs w:val="24"/>
          <w:lang w:val="ru-RU"/>
        </w:rPr>
        <w:t xml:space="preserve">гораздо больше, чем мы можем воспринимать. Видимая человеческим глазом область цветового спектра простирается от красного до фиолетового. За пределами фиолетового цвет становится волной, которую наши глаза уже не могут различить, </w:t>
      </w:r>
      <w:r>
        <w:rPr>
          <w:rFonts w:eastAsia="Times New Roman" w:cs="Times New Roman"/>
          <w:sz w:val="24"/>
          <w:szCs w:val="24"/>
          <w:lang w:val="ru-RU" w:eastAsia="fr-FR"/>
        </w:rPr>
        <w:t xml:space="preserve">– </w:t>
      </w:r>
      <w:r w:rsidRPr="001C177A">
        <w:rPr>
          <w:rFonts w:eastAsia="Times New Roman" w:cs="Times New Roman"/>
          <w:sz w:val="24"/>
          <w:szCs w:val="24"/>
          <w:lang w:val="ru-RU"/>
        </w:rPr>
        <w:t xml:space="preserve">ультрафиолетовым излучением. Меня завораживает создание часов, которые знаменуют этот рубеж, этот переломный момент, этот переход от ощутимого к неощутимому. </w:t>
      </w:r>
      <w:r>
        <w:rPr>
          <w:rFonts w:eastAsia="Times New Roman" w:cs="Times New Roman"/>
          <w:sz w:val="24"/>
          <w:szCs w:val="24"/>
        </w:rPr>
        <w:t>UR</w:t>
      </w:r>
      <w:r w:rsidRPr="001C177A">
        <w:rPr>
          <w:rFonts w:eastAsia="Times New Roman" w:cs="Times New Roman"/>
          <w:sz w:val="24"/>
          <w:szCs w:val="24"/>
          <w:lang w:val="ru-RU"/>
        </w:rPr>
        <w:t>-100</w:t>
      </w:r>
      <w:r>
        <w:rPr>
          <w:rFonts w:eastAsia="Times New Roman" w:cs="Times New Roman"/>
          <w:sz w:val="24"/>
          <w:szCs w:val="24"/>
        </w:rPr>
        <w:t>V</w:t>
      </w:r>
      <w:r w:rsidRPr="001C177A"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UltraViolet</w:t>
      </w:r>
      <w:proofErr w:type="spellEnd"/>
      <w:r w:rsidRPr="001C177A">
        <w:rPr>
          <w:rFonts w:eastAsia="Times New Roman" w:cs="Times New Roman"/>
          <w:sz w:val="24"/>
          <w:szCs w:val="24"/>
          <w:lang w:val="ru-RU"/>
        </w:rPr>
        <w:t xml:space="preserve"> повествует об исследовании </w:t>
      </w:r>
      <w:proofErr w:type="gramStart"/>
      <w:r w:rsidRPr="001C177A">
        <w:rPr>
          <w:rFonts w:eastAsia="Times New Roman" w:cs="Times New Roman"/>
          <w:sz w:val="24"/>
          <w:szCs w:val="24"/>
          <w:lang w:val="ru-RU"/>
        </w:rPr>
        <w:t>границ:</w:t>
      </w:r>
      <w:proofErr w:type="gramEnd"/>
      <w:r w:rsidRPr="001C177A">
        <w:rPr>
          <w:rFonts w:eastAsia="Times New Roman" w:cs="Times New Roman"/>
          <w:sz w:val="24"/>
          <w:szCs w:val="24"/>
          <w:lang w:val="ru-RU"/>
        </w:rPr>
        <w:t xml:space="preserve"> в нашей модели </w:t>
      </w:r>
      <w:proofErr w:type="spellStart"/>
      <w:r>
        <w:rPr>
          <w:rFonts w:eastAsia="Times New Roman" w:cs="Times New Roman"/>
          <w:sz w:val="24"/>
          <w:szCs w:val="24"/>
        </w:rPr>
        <w:t>UltraViolet</w:t>
      </w:r>
      <w:proofErr w:type="spellEnd"/>
      <w:r w:rsidRPr="001C177A">
        <w:rPr>
          <w:rFonts w:eastAsia="Times New Roman" w:cs="Times New Roman"/>
          <w:sz w:val="24"/>
          <w:szCs w:val="24"/>
          <w:lang w:val="ru-RU"/>
        </w:rPr>
        <w:t xml:space="preserve"> есть что-то мистическое, этот оттенок располагается на грани измерения, которое мы называем ”цветом”».</w:t>
      </w:r>
      <w:r w:rsidRPr="001C177A">
        <w:rPr>
          <w:rFonts w:eastAsia="Times New Roman" w:cstheme="minorHAnsi"/>
          <w:sz w:val="24"/>
          <w:szCs w:val="24"/>
          <w:lang w:val="ru-RU" w:eastAsia="fr-CH"/>
        </w:rPr>
        <w:t xml:space="preserve"> </w:t>
      </w:r>
    </w:p>
    <w:p w:rsidR="001C177A" w:rsidRPr="001C177A" w:rsidRDefault="001C177A" w:rsidP="002149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u-RU" w:eastAsia="fr-CH"/>
        </w:rPr>
      </w:pPr>
    </w:p>
    <w:p w:rsidR="007C19A0" w:rsidRPr="008F5621" w:rsidRDefault="001C177A" w:rsidP="0021494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val="ru-RU"/>
        </w:rPr>
      </w:pPr>
      <w:r w:rsidRPr="008F5621">
        <w:rPr>
          <w:rFonts w:cs="Times New Roman"/>
          <w:sz w:val="24"/>
          <w:szCs w:val="24"/>
          <w:lang w:val="ru-RU"/>
        </w:rPr>
        <w:t xml:space="preserve">На каучуковом ремешке, </w:t>
      </w:r>
      <w:r w:rsidRPr="008F5621">
        <w:rPr>
          <w:rFonts w:cs="Times New Roman"/>
          <w:sz w:val="24"/>
          <w:szCs w:val="24"/>
        </w:rPr>
        <w:t>UR</w:t>
      </w:r>
      <w:r w:rsidRPr="008F5621">
        <w:rPr>
          <w:rFonts w:cs="Times New Roman"/>
          <w:sz w:val="24"/>
          <w:szCs w:val="24"/>
          <w:lang w:val="ru-RU"/>
        </w:rPr>
        <w:t>-100</w:t>
      </w:r>
      <w:r w:rsidRPr="008F5621">
        <w:rPr>
          <w:rFonts w:cs="Times New Roman"/>
          <w:sz w:val="24"/>
          <w:szCs w:val="24"/>
        </w:rPr>
        <w:t>V</w:t>
      </w:r>
      <w:r w:rsidRPr="008F5621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8F5621">
        <w:rPr>
          <w:rFonts w:cs="Times New Roman"/>
          <w:sz w:val="24"/>
          <w:szCs w:val="24"/>
        </w:rPr>
        <w:t>UltraViolet</w:t>
      </w:r>
      <w:proofErr w:type="spellEnd"/>
      <w:r w:rsidRPr="008F5621">
        <w:rPr>
          <w:rFonts w:cs="Times New Roman"/>
          <w:sz w:val="24"/>
          <w:szCs w:val="24"/>
          <w:lang w:val="ru-RU"/>
        </w:rPr>
        <w:t xml:space="preserve"> воспроизводит коды коллекции 100 </w:t>
      </w:r>
      <w:proofErr w:type="spellStart"/>
      <w:r w:rsidRPr="008F5621">
        <w:rPr>
          <w:rFonts w:cs="Times New Roman"/>
          <w:sz w:val="24"/>
          <w:szCs w:val="24"/>
        </w:rPr>
        <w:t>URWERK</w:t>
      </w:r>
      <w:proofErr w:type="spellEnd"/>
      <w:r w:rsidR="001B5237" w:rsidRPr="008F5621">
        <w:rPr>
          <w:rFonts w:cstheme="minorHAnsi"/>
          <w:sz w:val="24"/>
          <w:szCs w:val="24"/>
          <w:lang w:val="ru-RU"/>
        </w:rPr>
        <w:t xml:space="preserve">. </w:t>
      </w:r>
      <w:r w:rsidR="008F5621" w:rsidRPr="008F5621">
        <w:rPr>
          <w:rFonts w:cs="Times New Roman"/>
          <w:sz w:val="24"/>
          <w:szCs w:val="24"/>
          <w:lang w:val="ru-RU"/>
        </w:rPr>
        <w:t xml:space="preserve">В модели </w:t>
      </w:r>
      <w:r w:rsidR="008F5621" w:rsidRPr="008F5621">
        <w:rPr>
          <w:rFonts w:cs="Times New Roman"/>
          <w:sz w:val="24"/>
          <w:szCs w:val="24"/>
        </w:rPr>
        <w:t>UR</w:t>
      </w:r>
      <w:r w:rsidR="008F5621" w:rsidRPr="008F5621">
        <w:rPr>
          <w:rFonts w:cs="Times New Roman"/>
          <w:sz w:val="24"/>
          <w:szCs w:val="24"/>
          <w:lang w:val="ru-RU"/>
        </w:rPr>
        <w:t>-100</w:t>
      </w:r>
      <w:r w:rsidR="008F5621" w:rsidRPr="008F5621">
        <w:rPr>
          <w:rFonts w:cs="Times New Roman"/>
          <w:sz w:val="24"/>
          <w:szCs w:val="24"/>
          <w:lang w:val="fr-FR"/>
        </w:rPr>
        <w:t>V</w:t>
      </w:r>
      <w:r w:rsidR="008F5621" w:rsidRPr="008F5621">
        <w:rPr>
          <w:rFonts w:cs="Times New Roman"/>
          <w:sz w:val="24"/>
          <w:szCs w:val="24"/>
          <w:lang w:val="ru-RU"/>
        </w:rPr>
        <w:t xml:space="preserve"> </w:t>
      </w:r>
      <w:r w:rsidR="008F5621" w:rsidRPr="008F5621">
        <w:rPr>
          <w:rFonts w:cs="Arial"/>
          <w:sz w:val="24"/>
          <w:szCs w:val="24"/>
          <w:lang w:val="ru-RU"/>
        </w:rPr>
        <w:t>к сателлитным указателям часов и минут добавляются новые данные. Минутная стрелка, пройдя шестидесятую отметку, исчезает, чтобы вновь появиться в качестве счетчика километров. Она ведет отсчет тех 555 километров, на которые жители Земли передвигаются каждые 20 минут. Это, в действительности, соответствует средней скорости вращения Земли, рассчитанной в зоне Экватора.</w:t>
      </w:r>
      <w:r w:rsidR="008F5621" w:rsidRPr="008F5621">
        <w:rPr>
          <w:rFonts w:cs="Times New Roman"/>
          <w:sz w:val="24"/>
          <w:szCs w:val="24"/>
          <w:lang w:val="ru-RU"/>
        </w:rPr>
        <w:t xml:space="preserve"> </w:t>
      </w:r>
      <w:r w:rsidR="008F5621" w:rsidRPr="008F5621">
        <w:rPr>
          <w:rFonts w:cs="Arial"/>
          <w:sz w:val="24"/>
          <w:szCs w:val="24"/>
          <w:lang w:val="ru-RU"/>
        </w:rPr>
        <w:t xml:space="preserve">В ровно противоположной части циферблата воспроизводится еще одна информация: о вращении Земли вокруг солнца из расчета 35 740 километров за 20 минут. На лицевой стороне </w:t>
      </w:r>
      <w:r w:rsidR="008F5621" w:rsidRPr="008F5621">
        <w:rPr>
          <w:rFonts w:cs="Times New Roman"/>
          <w:sz w:val="24"/>
          <w:szCs w:val="24"/>
        </w:rPr>
        <w:t>UR</w:t>
      </w:r>
      <w:r w:rsidR="008F5621" w:rsidRPr="008F5621">
        <w:rPr>
          <w:rFonts w:cs="Times New Roman"/>
          <w:sz w:val="24"/>
          <w:szCs w:val="24"/>
          <w:lang w:val="ru-RU"/>
        </w:rPr>
        <w:t>-100</w:t>
      </w:r>
      <w:r w:rsidR="008F5621" w:rsidRPr="008F5621">
        <w:rPr>
          <w:rFonts w:cs="Times New Roman"/>
          <w:sz w:val="24"/>
          <w:szCs w:val="24"/>
          <w:lang w:val="fr-FR"/>
        </w:rPr>
        <w:t>V</w:t>
      </w:r>
      <w:r w:rsidR="008F5621" w:rsidRPr="008F5621">
        <w:rPr>
          <w:rFonts w:cs="Arial"/>
          <w:sz w:val="24"/>
          <w:szCs w:val="24"/>
          <w:lang w:val="ru-RU"/>
        </w:rPr>
        <w:t xml:space="preserve"> часы и километры удостаиваются таким образом равного статуса, уравниваются в качестве шкалы величин. Ее единицы окрашиваются </w:t>
      </w:r>
      <w:r w:rsidR="007D5F60">
        <w:rPr>
          <w:rFonts w:cs="Arial"/>
          <w:sz w:val="24"/>
          <w:szCs w:val="24"/>
          <w:lang w:val="ru-RU"/>
        </w:rPr>
        <w:t xml:space="preserve">ночью </w:t>
      </w:r>
      <w:r w:rsidR="008F5621" w:rsidRPr="008F5621">
        <w:rPr>
          <w:rFonts w:cs="Arial"/>
          <w:sz w:val="24"/>
          <w:szCs w:val="24"/>
          <w:lang w:val="ru-RU"/>
        </w:rPr>
        <w:t xml:space="preserve">в раскаленный </w:t>
      </w:r>
      <w:r w:rsidR="008F5621">
        <w:rPr>
          <w:rFonts w:cs="Arial"/>
          <w:sz w:val="24"/>
          <w:szCs w:val="24"/>
          <w:lang w:val="ru-RU"/>
        </w:rPr>
        <w:t>синий</w:t>
      </w:r>
      <w:r w:rsidR="008F5621" w:rsidRPr="008F5621">
        <w:rPr>
          <w:rFonts w:cs="Arial"/>
          <w:sz w:val="24"/>
          <w:szCs w:val="24"/>
          <w:lang w:val="ru-RU"/>
        </w:rPr>
        <w:t xml:space="preserve"> оттенок, когда указывают время, и в сверкающий </w:t>
      </w:r>
      <w:r w:rsidR="008F5621">
        <w:rPr>
          <w:rFonts w:cs="Arial"/>
          <w:sz w:val="24"/>
          <w:szCs w:val="24"/>
          <w:lang w:val="ru-RU"/>
        </w:rPr>
        <w:t>зеленый</w:t>
      </w:r>
      <w:r w:rsidR="008F5621" w:rsidRPr="008F5621">
        <w:rPr>
          <w:rFonts w:cs="Arial"/>
          <w:sz w:val="24"/>
          <w:szCs w:val="24"/>
          <w:lang w:val="ru-RU"/>
        </w:rPr>
        <w:t xml:space="preserve">, когда речь идет о километрах. Феликс </w:t>
      </w:r>
      <w:proofErr w:type="spellStart"/>
      <w:r w:rsidR="008F5621" w:rsidRPr="008F5621">
        <w:rPr>
          <w:rFonts w:cs="Arial"/>
          <w:sz w:val="24"/>
          <w:szCs w:val="24"/>
          <w:lang w:val="ru-RU"/>
        </w:rPr>
        <w:t>Баумгартнер</w:t>
      </w:r>
      <w:proofErr w:type="spellEnd"/>
      <w:r w:rsidR="008F5621" w:rsidRPr="008F5621">
        <w:rPr>
          <w:rFonts w:cs="Arial"/>
          <w:sz w:val="24"/>
          <w:szCs w:val="24"/>
          <w:lang w:val="ru-RU"/>
        </w:rPr>
        <w:t xml:space="preserve">, часовых дел мастер и сооснователь компании </w:t>
      </w:r>
      <w:proofErr w:type="spellStart"/>
      <w:r w:rsidR="008F5621" w:rsidRPr="008F5621">
        <w:rPr>
          <w:rFonts w:cs="Arial"/>
          <w:sz w:val="24"/>
          <w:szCs w:val="24"/>
        </w:rPr>
        <w:t>URWERK</w:t>
      </w:r>
      <w:proofErr w:type="spellEnd"/>
      <w:r w:rsidR="008F5621" w:rsidRPr="008F5621">
        <w:rPr>
          <w:rFonts w:cs="Arial"/>
          <w:sz w:val="24"/>
          <w:szCs w:val="24"/>
          <w:lang w:val="ru-RU"/>
        </w:rPr>
        <w:t xml:space="preserve">, рассказывает: «Эта модель вдохновлена подарком, полученным от моего отца Джери </w:t>
      </w:r>
      <w:proofErr w:type="spellStart"/>
      <w:r w:rsidR="008F5621" w:rsidRPr="008F5621">
        <w:rPr>
          <w:rFonts w:cs="Arial"/>
          <w:sz w:val="24"/>
          <w:szCs w:val="24"/>
          <w:lang w:val="ru-RU"/>
        </w:rPr>
        <w:t>Баумгартнера</w:t>
      </w:r>
      <w:proofErr w:type="spellEnd"/>
      <w:r w:rsidR="008F5621" w:rsidRPr="008F5621">
        <w:rPr>
          <w:rFonts w:cs="Arial"/>
          <w:sz w:val="24"/>
          <w:szCs w:val="24"/>
          <w:lang w:val="ru-RU"/>
        </w:rPr>
        <w:t xml:space="preserve"> – известного реставратора старинных маятниковых часов. Я имею в виду маятник, </w:t>
      </w:r>
      <w:r w:rsidR="008F5621" w:rsidRPr="008F5621">
        <w:rPr>
          <w:rFonts w:cs="Times New Roman"/>
          <w:sz w:val="24"/>
          <w:szCs w:val="24"/>
          <w:lang w:val="ru-RU"/>
        </w:rPr>
        <w:t xml:space="preserve">изготовленный Гюставом </w:t>
      </w:r>
      <w:proofErr w:type="spellStart"/>
      <w:r w:rsidR="008F5621" w:rsidRPr="008F5621">
        <w:rPr>
          <w:rFonts w:cs="Times New Roman"/>
          <w:sz w:val="24"/>
          <w:szCs w:val="24"/>
          <w:lang w:val="ru-RU"/>
        </w:rPr>
        <w:t>Сандозом</w:t>
      </w:r>
      <w:proofErr w:type="spellEnd"/>
      <w:r w:rsidR="008F5621" w:rsidRPr="008F5621">
        <w:rPr>
          <w:rFonts w:cs="Times New Roman"/>
          <w:sz w:val="24"/>
          <w:szCs w:val="24"/>
          <w:lang w:val="ru-RU"/>
        </w:rPr>
        <w:t xml:space="preserve"> ко Всемирной выставке 1893 года. Его особенность заключается в том, что вместо времени он указывает расстояние, пройденное Землей в зоне Экватора»</w:t>
      </w:r>
      <w:r w:rsidR="00D334B7" w:rsidRPr="008F5621">
        <w:rPr>
          <w:rFonts w:cstheme="minorHAnsi"/>
          <w:sz w:val="24"/>
          <w:szCs w:val="24"/>
          <w:lang w:val="ru-RU"/>
        </w:rPr>
        <w:t>.</w:t>
      </w:r>
      <w:r w:rsidR="000C648A" w:rsidRPr="008F5621">
        <w:rPr>
          <w:rFonts w:cstheme="minorHAnsi"/>
          <w:sz w:val="24"/>
          <w:szCs w:val="24"/>
          <w:lang w:val="ru-RU"/>
        </w:rPr>
        <w:t xml:space="preserve"> </w:t>
      </w:r>
    </w:p>
    <w:p w:rsidR="00941FD5" w:rsidRPr="008F5621" w:rsidRDefault="008F5621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8F5621">
        <w:rPr>
          <w:rFonts w:cs="Arial"/>
          <w:sz w:val="24"/>
          <w:szCs w:val="24"/>
          <w:lang w:val="ru-RU"/>
        </w:rPr>
        <w:t xml:space="preserve">Под крышкой корпуса </w:t>
      </w:r>
      <w:r w:rsidRPr="008F5621">
        <w:rPr>
          <w:rFonts w:cs="Arial"/>
          <w:sz w:val="24"/>
          <w:szCs w:val="24"/>
        </w:rPr>
        <w:t>UR</w:t>
      </w:r>
      <w:r w:rsidRPr="008F5621">
        <w:rPr>
          <w:rFonts w:cs="Arial"/>
          <w:sz w:val="24"/>
          <w:szCs w:val="24"/>
          <w:lang w:val="ru-RU"/>
        </w:rPr>
        <w:t>-100</w:t>
      </w:r>
      <w:r w:rsidRPr="008F5621">
        <w:rPr>
          <w:rFonts w:cs="Arial"/>
          <w:sz w:val="24"/>
          <w:szCs w:val="24"/>
          <w:lang w:val="fr-FR"/>
        </w:rPr>
        <w:t>V</w:t>
      </w:r>
      <w:r w:rsidRPr="008F5621">
        <w:rPr>
          <w:rFonts w:cs="Arial"/>
          <w:sz w:val="24"/>
          <w:szCs w:val="24"/>
          <w:lang w:val="ru-RU"/>
        </w:rPr>
        <w:t xml:space="preserve"> тикает новый калибр 12.02 </w:t>
      </w:r>
      <w:proofErr w:type="spellStart"/>
      <w:r w:rsidRPr="008F5621">
        <w:rPr>
          <w:rFonts w:cs="Arial"/>
          <w:sz w:val="24"/>
          <w:szCs w:val="24"/>
        </w:rPr>
        <w:t>URWERK</w:t>
      </w:r>
      <w:proofErr w:type="spellEnd"/>
      <w:r w:rsidRPr="008F5621">
        <w:rPr>
          <w:rFonts w:cs="Arial"/>
          <w:sz w:val="24"/>
          <w:szCs w:val="24"/>
          <w:lang w:val="ru-RU"/>
        </w:rPr>
        <w:t xml:space="preserve">, указывающий время с помощью трех сателлитов. «Изменение калибра для этой модификации проявляется в переработке дизайна центральной карусели. </w:t>
      </w:r>
      <w:r w:rsidRPr="008F5621">
        <w:rPr>
          <w:rFonts w:cs="Arial"/>
          <w:sz w:val="24"/>
          <w:szCs w:val="24"/>
          <w:shd w:val="clear" w:color="auto" w:fill="FFFFFF"/>
          <w:lang w:val="ru-RU"/>
        </w:rPr>
        <w:t xml:space="preserve">Часовые деления расположены как можно ближе к минутному указателю для более интуитивного и плавного считывания </w:t>
      </w:r>
      <w:r w:rsidRPr="008F5621">
        <w:rPr>
          <w:rFonts w:cs="Arial"/>
          <w:sz w:val="24"/>
          <w:szCs w:val="24"/>
          <w:shd w:val="clear" w:color="auto" w:fill="FFFFFF"/>
          <w:lang w:val="ru-RU"/>
        </w:rPr>
        <w:lastRenderedPageBreak/>
        <w:t xml:space="preserve">времени», </w:t>
      </w:r>
      <w:r w:rsidRPr="008F5621">
        <w:rPr>
          <w:rFonts w:cs="Times New Roman"/>
          <w:sz w:val="24"/>
          <w:szCs w:val="24"/>
          <w:lang w:val="ru-RU"/>
        </w:rPr>
        <w:t>–</w:t>
      </w:r>
      <w:r w:rsidRPr="008F5621">
        <w:rPr>
          <w:sz w:val="24"/>
          <w:szCs w:val="24"/>
          <w:lang w:val="ru-RU" w:eastAsia="fr-FR"/>
        </w:rPr>
        <w:t xml:space="preserve"> </w:t>
      </w:r>
      <w:r w:rsidRPr="008F5621">
        <w:rPr>
          <w:rFonts w:cs="Arial"/>
          <w:sz w:val="24"/>
          <w:szCs w:val="24"/>
          <w:shd w:val="clear" w:color="auto" w:fill="FFFFFF"/>
          <w:lang w:val="ru-RU"/>
        </w:rPr>
        <w:t xml:space="preserve">объясняет Феликс </w:t>
      </w:r>
      <w:proofErr w:type="spellStart"/>
      <w:r w:rsidRPr="008F5621">
        <w:rPr>
          <w:rFonts w:cs="Arial"/>
          <w:sz w:val="24"/>
          <w:szCs w:val="24"/>
          <w:shd w:val="clear" w:color="auto" w:fill="FFFFFF"/>
          <w:lang w:val="ru-RU"/>
        </w:rPr>
        <w:t>Баумгартнер</w:t>
      </w:r>
      <w:proofErr w:type="spellEnd"/>
      <w:r w:rsidRPr="008F5621">
        <w:rPr>
          <w:rFonts w:cs="Arial"/>
          <w:sz w:val="24"/>
          <w:szCs w:val="24"/>
          <w:shd w:val="clear" w:color="auto" w:fill="FFFFFF"/>
          <w:lang w:val="ru-RU"/>
        </w:rPr>
        <w:t>.</w:t>
      </w:r>
      <w:r w:rsidRPr="008F5621">
        <w:rPr>
          <w:rFonts w:cs="Times New Roman"/>
          <w:sz w:val="24"/>
          <w:szCs w:val="24"/>
          <w:lang w:val="ru-RU"/>
        </w:rPr>
        <w:t xml:space="preserve"> Эта карусель выполнена из алюминия, а затем подвергнута пескоструйной и </w:t>
      </w:r>
      <w:proofErr w:type="spellStart"/>
      <w:r w:rsidRPr="008F5621">
        <w:rPr>
          <w:sz w:val="24"/>
          <w:szCs w:val="24"/>
          <w:lang w:val="ru-RU"/>
        </w:rPr>
        <w:t>микродробеструйной</w:t>
      </w:r>
      <w:proofErr w:type="spellEnd"/>
      <w:r w:rsidRPr="008F5621">
        <w:rPr>
          <w:sz w:val="24"/>
          <w:szCs w:val="24"/>
          <w:lang w:val="ru-RU"/>
        </w:rPr>
        <w:t xml:space="preserve"> </w:t>
      </w:r>
      <w:r w:rsidRPr="008F5621">
        <w:rPr>
          <w:rFonts w:cs="Times New Roman"/>
          <w:sz w:val="24"/>
          <w:szCs w:val="24"/>
          <w:lang w:val="ru-RU"/>
        </w:rPr>
        <w:t xml:space="preserve">обработке после анодного оксидирования. Каждый винтик сателлитов обработан круговым сатинированием. Сами сателлиты крепятся на карусели из прошедшей пескоструйную обработку и обработку рутением латуни. Конструкция, управляющая часовым указателем, сделана из алюминия и подвергнута пескоструйной и </w:t>
      </w:r>
      <w:proofErr w:type="spellStart"/>
      <w:r w:rsidRPr="008F5621">
        <w:rPr>
          <w:sz w:val="24"/>
          <w:szCs w:val="24"/>
          <w:lang w:val="ru-RU"/>
        </w:rPr>
        <w:t>микродробеструйной</w:t>
      </w:r>
      <w:proofErr w:type="spellEnd"/>
      <w:r w:rsidRPr="008F5621">
        <w:rPr>
          <w:rFonts w:cs="Times New Roman"/>
          <w:sz w:val="24"/>
          <w:szCs w:val="24"/>
          <w:lang w:val="ru-RU"/>
        </w:rPr>
        <w:t xml:space="preserve"> обработке. За автоподзавод </w:t>
      </w:r>
      <w:r w:rsidRPr="008F5621">
        <w:rPr>
          <w:rFonts w:cs="Times New Roman"/>
          <w:sz w:val="24"/>
          <w:szCs w:val="24"/>
        </w:rPr>
        <w:t>UR</w:t>
      </w:r>
      <w:r w:rsidRPr="008F5621">
        <w:rPr>
          <w:rFonts w:cs="Times New Roman"/>
          <w:sz w:val="24"/>
          <w:szCs w:val="24"/>
          <w:lang w:val="ru-RU"/>
        </w:rPr>
        <w:t>-100</w:t>
      </w:r>
      <w:r w:rsidRPr="008F5621">
        <w:rPr>
          <w:rFonts w:cs="Times New Roman"/>
          <w:sz w:val="24"/>
          <w:szCs w:val="24"/>
          <w:lang w:val="fr-FR"/>
        </w:rPr>
        <w:t>V</w:t>
      </w:r>
      <w:r w:rsidRPr="008F5621">
        <w:rPr>
          <w:rFonts w:cs="Times New Roman"/>
          <w:sz w:val="24"/>
          <w:szCs w:val="24"/>
          <w:lang w:val="ru-RU"/>
        </w:rPr>
        <w:t xml:space="preserve"> отвечает двунаправленный ротор, который регулируется профилированным винтом </w:t>
      </w:r>
      <w:proofErr w:type="spellStart"/>
      <w:r w:rsidRPr="008F5621">
        <w:rPr>
          <w:sz w:val="24"/>
          <w:szCs w:val="24"/>
        </w:rPr>
        <w:t>Windf</w:t>
      </w:r>
      <w:proofErr w:type="spellEnd"/>
      <w:r w:rsidRPr="008F5621">
        <w:rPr>
          <w:sz w:val="24"/>
          <w:szCs w:val="24"/>
          <w:lang w:val="ru-RU"/>
        </w:rPr>
        <w:t>ä</w:t>
      </w:r>
      <w:proofErr w:type="spellStart"/>
      <w:r w:rsidRPr="008F5621">
        <w:rPr>
          <w:sz w:val="24"/>
          <w:szCs w:val="24"/>
        </w:rPr>
        <w:t>nger</w:t>
      </w:r>
      <w:proofErr w:type="spellEnd"/>
      <w:r w:rsidR="00941FD5" w:rsidRPr="008F5621">
        <w:rPr>
          <w:rFonts w:cstheme="minorHAnsi"/>
          <w:sz w:val="24"/>
          <w:szCs w:val="24"/>
          <w:lang w:val="ru-RU"/>
        </w:rPr>
        <w:t>.</w:t>
      </w:r>
    </w:p>
    <w:p w:rsidR="00900AAA" w:rsidRPr="008F5621" w:rsidRDefault="008F5621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8F5621">
        <w:rPr>
          <w:rFonts w:cs="Times New Roman"/>
          <w:sz w:val="24"/>
          <w:szCs w:val="24"/>
          <w:lang w:val="ru-RU"/>
        </w:rPr>
        <w:t xml:space="preserve">Внешний вид корпуса </w:t>
      </w:r>
      <w:r w:rsidRPr="008F5621">
        <w:rPr>
          <w:rFonts w:cs="Times New Roman"/>
          <w:sz w:val="24"/>
          <w:szCs w:val="24"/>
        </w:rPr>
        <w:t>UR</w:t>
      </w:r>
      <w:r w:rsidRPr="008F5621">
        <w:rPr>
          <w:rFonts w:cs="Times New Roman"/>
          <w:sz w:val="24"/>
          <w:szCs w:val="24"/>
          <w:lang w:val="ru-RU"/>
        </w:rPr>
        <w:t>-100</w:t>
      </w:r>
      <w:r w:rsidRPr="008F5621">
        <w:rPr>
          <w:rFonts w:cs="Times New Roman"/>
          <w:sz w:val="24"/>
          <w:szCs w:val="24"/>
          <w:lang w:val="fr-FR"/>
        </w:rPr>
        <w:t>V</w:t>
      </w:r>
      <w:r w:rsidRPr="008F5621">
        <w:rPr>
          <w:rFonts w:cs="Times New Roman"/>
          <w:sz w:val="24"/>
          <w:szCs w:val="24"/>
          <w:lang w:val="ru-RU"/>
        </w:rPr>
        <w:t xml:space="preserve"> вызывает эффект «</w:t>
      </w:r>
      <w:proofErr w:type="spellStart"/>
      <w:r w:rsidRPr="008F5621">
        <w:rPr>
          <w:rFonts w:cs="Times New Roman"/>
          <w:sz w:val="24"/>
          <w:szCs w:val="24"/>
          <w:lang w:val="ru-RU"/>
        </w:rPr>
        <w:t>дежа</w:t>
      </w:r>
      <w:proofErr w:type="spellEnd"/>
      <w:r w:rsidRPr="008F5621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8F5621">
        <w:rPr>
          <w:rFonts w:cs="Times New Roman"/>
          <w:sz w:val="24"/>
          <w:szCs w:val="24"/>
          <w:lang w:val="ru-RU"/>
        </w:rPr>
        <w:t>вю</w:t>
      </w:r>
      <w:proofErr w:type="spellEnd"/>
      <w:r w:rsidRPr="008F5621">
        <w:rPr>
          <w:rFonts w:cs="Times New Roman"/>
          <w:sz w:val="24"/>
          <w:szCs w:val="24"/>
          <w:lang w:val="ru-RU"/>
        </w:rPr>
        <w:t xml:space="preserve">». Это объясняется тем, что часы воскрешают в памяти верных поклонников </w:t>
      </w:r>
      <w:proofErr w:type="spellStart"/>
      <w:r w:rsidRPr="008F5621">
        <w:rPr>
          <w:rFonts w:cs="Times New Roman"/>
          <w:sz w:val="24"/>
          <w:szCs w:val="24"/>
        </w:rPr>
        <w:t>URWERK</w:t>
      </w:r>
      <w:proofErr w:type="spellEnd"/>
      <w:r w:rsidRPr="008F5621">
        <w:rPr>
          <w:rFonts w:cs="Times New Roman"/>
          <w:sz w:val="24"/>
          <w:szCs w:val="24"/>
          <w:lang w:val="ru-RU"/>
        </w:rPr>
        <w:t xml:space="preserve"> эстетику ранних моделей независимого бренда. «Мы позаимствовали ряд эстетических деталей у наших первых творений и разложили на составляющие сам подход. Один лишь пример: стальная крышка корпуса вошедших в историю моделей на этот раз воспроизводится из сапфирового стекла во всей его прозрачности. Совершенство стекла подчеркивается шероховатостью корпуса, выполненного из титана и стали. Мне, не переставая ставящему под сомнение диктат симметрии, удалось поиграть с пропорциями, чтобы задержать взгляд», </w:t>
      </w:r>
      <w:r w:rsidRPr="008F5621">
        <w:rPr>
          <w:rFonts w:cs="Arial"/>
          <w:sz w:val="24"/>
          <w:szCs w:val="24"/>
          <w:lang w:val="ru-RU"/>
        </w:rPr>
        <w:t>–</w:t>
      </w:r>
      <w:r w:rsidRPr="008F5621">
        <w:rPr>
          <w:rFonts w:cs="Times New Roman"/>
          <w:sz w:val="24"/>
          <w:szCs w:val="24"/>
          <w:lang w:val="ru-RU"/>
        </w:rPr>
        <w:t xml:space="preserve"> </w:t>
      </w:r>
      <w:r w:rsidRPr="008F5621">
        <w:rPr>
          <w:rFonts w:cs="Arial"/>
          <w:sz w:val="24"/>
          <w:szCs w:val="24"/>
          <w:lang w:val="ru-RU"/>
        </w:rPr>
        <w:t>заключает Мартин Фрай</w:t>
      </w:r>
      <w:r w:rsidR="008D0D3F" w:rsidRPr="008F5621">
        <w:rPr>
          <w:rFonts w:cstheme="minorHAnsi"/>
          <w:sz w:val="24"/>
          <w:szCs w:val="24"/>
          <w:lang w:val="ru-RU"/>
        </w:rPr>
        <w:t xml:space="preserve">. </w:t>
      </w:r>
    </w:p>
    <w:p w:rsidR="00EE1D4D" w:rsidRPr="008F5621" w:rsidRDefault="00EE1D4D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</w:p>
    <w:p w:rsidR="00142837" w:rsidRPr="008F5621" w:rsidRDefault="00142837" w:rsidP="00214949">
      <w:pPr>
        <w:jc w:val="both"/>
        <w:rPr>
          <w:rFonts w:cstheme="minorHAnsi"/>
          <w:sz w:val="24"/>
          <w:szCs w:val="24"/>
          <w:lang w:val="ru-RU"/>
        </w:rPr>
      </w:pPr>
      <w:r w:rsidRPr="008F5621">
        <w:rPr>
          <w:rFonts w:cstheme="minorHAnsi"/>
          <w:sz w:val="24"/>
          <w:szCs w:val="24"/>
          <w:lang w:val="ru-RU"/>
        </w:rPr>
        <w:br w:type="page"/>
      </w:r>
    </w:p>
    <w:p w:rsidR="008040E5" w:rsidRPr="00DD598A" w:rsidRDefault="008040E5" w:rsidP="002C6C7F">
      <w:pPr>
        <w:spacing w:after="0"/>
        <w:jc w:val="center"/>
        <w:rPr>
          <w:rFonts w:cstheme="minorHAnsi"/>
          <w:b/>
          <w:sz w:val="28"/>
          <w:szCs w:val="24"/>
          <w:lang w:val="ru-RU"/>
        </w:rPr>
      </w:pPr>
    </w:p>
    <w:p w:rsidR="00964A0D" w:rsidRPr="002C6C7F" w:rsidRDefault="008226BA" w:rsidP="002C6C7F">
      <w:pPr>
        <w:spacing w:after="0"/>
        <w:jc w:val="center"/>
        <w:rPr>
          <w:rFonts w:cstheme="minorHAnsi"/>
          <w:b/>
          <w:sz w:val="28"/>
          <w:szCs w:val="24"/>
          <w:lang w:val="en-US"/>
        </w:rPr>
      </w:pPr>
      <w:r w:rsidRPr="002C6C7F">
        <w:rPr>
          <w:rFonts w:cstheme="minorHAnsi"/>
          <w:b/>
          <w:sz w:val="28"/>
          <w:szCs w:val="24"/>
          <w:lang w:val="en-US"/>
        </w:rPr>
        <w:t>UR-100V</w:t>
      </w:r>
      <w:r w:rsidR="006002A0" w:rsidRPr="002C6C7F">
        <w:rPr>
          <w:rFonts w:cstheme="minorHAnsi"/>
          <w:b/>
          <w:sz w:val="28"/>
          <w:szCs w:val="24"/>
          <w:lang w:val="en-US"/>
        </w:rPr>
        <w:t xml:space="preserve"> </w:t>
      </w:r>
      <w:proofErr w:type="spellStart"/>
      <w:r w:rsidR="004813E1" w:rsidRPr="002C6C7F">
        <w:rPr>
          <w:rFonts w:cstheme="minorHAnsi"/>
          <w:b/>
          <w:sz w:val="28"/>
          <w:szCs w:val="24"/>
          <w:lang w:val="en-US"/>
        </w:rPr>
        <w:t>Ultra</w:t>
      </w:r>
      <w:r w:rsidR="002C6C7F" w:rsidRPr="002C6C7F">
        <w:rPr>
          <w:rFonts w:cstheme="minorHAnsi"/>
          <w:b/>
          <w:sz w:val="28"/>
          <w:szCs w:val="24"/>
          <w:lang w:val="en-US"/>
        </w:rPr>
        <w:t>V</w:t>
      </w:r>
      <w:r w:rsidR="004813E1" w:rsidRPr="002C6C7F">
        <w:rPr>
          <w:rFonts w:cstheme="minorHAnsi"/>
          <w:b/>
          <w:sz w:val="28"/>
          <w:szCs w:val="24"/>
          <w:lang w:val="en-US"/>
        </w:rPr>
        <w:t>iolet</w:t>
      </w:r>
      <w:proofErr w:type="spellEnd"/>
    </w:p>
    <w:p w:rsidR="00964A0D" w:rsidRPr="00DD30DC" w:rsidRDefault="00964A0D" w:rsidP="00214949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tbl>
      <w:tblPr>
        <w:tblStyle w:val="Grilledutableau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8"/>
        <w:gridCol w:w="6919"/>
      </w:tblGrid>
      <w:tr w:rsidR="008903E0" w:rsidRPr="00DD30DC" w:rsidTr="00DD30DC">
        <w:tc>
          <w:tcPr>
            <w:tcW w:w="2268" w:type="dxa"/>
          </w:tcPr>
          <w:p w:rsidR="008903E0" w:rsidRPr="00733107" w:rsidRDefault="008F5621" w:rsidP="00214949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733107">
              <w:rPr>
                <w:b/>
                <w:bCs/>
                <w:sz w:val="24"/>
                <w:szCs w:val="24"/>
                <w:lang w:val="ru-RU"/>
              </w:rPr>
              <w:t>Механизм</w:t>
            </w:r>
          </w:p>
        </w:tc>
        <w:tc>
          <w:tcPr>
            <w:tcW w:w="7229" w:type="dxa"/>
          </w:tcPr>
          <w:p w:rsidR="008903E0" w:rsidRPr="00733107" w:rsidRDefault="008903E0" w:rsidP="00214949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8903E0" w:rsidRPr="00DD598A" w:rsidTr="00DD30DC">
        <w:tc>
          <w:tcPr>
            <w:tcW w:w="2268" w:type="dxa"/>
          </w:tcPr>
          <w:p w:rsidR="008903E0" w:rsidRPr="00733107" w:rsidRDefault="008F5621" w:rsidP="00214949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733107">
              <w:rPr>
                <w:sz w:val="24"/>
                <w:szCs w:val="24"/>
                <w:lang w:val="ru-RU"/>
              </w:rPr>
              <w:t>Калибр</w:t>
            </w:r>
          </w:p>
        </w:tc>
        <w:tc>
          <w:tcPr>
            <w:tcW w:w="7229" w:type="dxa"/>
          </w:tcPr>
          <w:p w:rsidR="008903E0" w:rsidRPr="00733107" w:rsidRDefault="008903E0" w:rsidP="00214949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33107">
              <w:rPr>
                <w:rFonts w:cstheme="minorHAnsi"/>
                <w:sz w:val="24"/>
                <w:szCs w:val="24"/>
                <w:lang w:val="fr-FR"/>
              </w:rPr>
              <w:t>UR</w:t>
            </w:r>
            <w:r w:rsidRPr="00733107">
              <w:rPr>
                <w:rFonts w:cstheme="minorHAnsi"/>
                <w:sz w:val="24"/>
                <w:szCs w:val="24"/>
                <w:lang w:val="ru-RU"/>
              </w:rPr>
              <w:t xml:space="preserve"> 12.0</w:t>
            </w:r>
            <w:r w:rsidR="00487732" w:rsidRPr="00733107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Pr="00733107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8F5621" w:rsidRPr="00733107">
              <w:rPr>
                <w:sz w:val="24"/>
                <w:szCs w:val="24"/>
                <w:lang w:val="ru-RU"/>
              </w:rPr>
              <w:t xml:space="preserve">с системой автоматического подзавода, регулируемой при помощи профилированного винта </w:t>
            </w:r>
            <w:proofErr w:type="spellStart"/>
            <w:r w:rsidR="008F5621" w:rsidRPr="00733107">
              <w:rPr>
                <w:sz w:val="24"/>
                <w:szCs w:val="24"/>
              </w:rPr>
              <w:t>Windf</w:t>
            </w:r>
            <w:proofErr w:type="spellEnd"/>
            <w:r w:rsidR="008F5621" w:rsidRPr="00733107">
              <w:rPr>
                <w:sz w:val="24"/>
                <w:szCs w:val="24"/>
                <w:lang w:val="ru-RU"/>
              </w:rPr>
              <w:t>ä</w:t>
            </w:r>
            <w:proofErr w:type="spellStart"/>
            <w:r w:rsidR="008F5621" w:rsidRPr="00733107">
              <w:rPr>
                <w:sz w:val="24"/>
                <w:szCs w:val="24"/>
              </w:rPr>
              <w:t>nger</w:t>
            </w:r>
            <w:proofErr w:type="spellEnd"/>
          </w:p>
          <w:p w:rsidR="008903E0" w:rsidRPr="00733107" w:rsidRDefault="008903E0" w:rsidP="00214949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903E0" w:rsidRPr="00DD30DC" w:rsidTr="00DD30DC">
        <w:tc>
          <w:tcPr>
            <w:tcW w:w="2268" w:type="dxa"/>
          </w:tcPr>
          <w:p w:rsidR="008903E0" w:rsidRPr="00733107" w:rsidRDefault="008F5621" w:rsidP="00214949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733107">
              <w:rPr>
                <w:sz w:val="24"/>
                <w:szCs w:val="24"/>
                <w:lang w:val="ru-RU"/>
              </w:rPr>
              <w:t>Камни</w:t>
            </w:r>
          </w:p>
        </w:tc>
        <w:tc>
          <w:tcPr>
            <w:tcW w:w="7229" w:type="dxa"/>
          </w:tcPr>
          <w:p w:rsidR="008903E0" w:rsidRPr="00733107" w:rsidRDefault="002657E5" w:rsidP="00214949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733107">
              <w:rPr>
                <w:rFonts w:cstheme="minorHAnsi"/>
                <w:sz w:val="24"/>
                <w:szCs w:val="24"/>
                <w:lang w:val="fr-FR"/>
              </w:rPr>
              <w:t>40</w:t>
            </w:r>
          </w:p>
          <w:p w:rsidR="008903E0" w:rsidRPr="00733107" w:rsidRDefault="008903E0" w:rsidP="00214949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8903E0" w:rsidRPr="00DD30DC" w:rsidTr="00DD30DC">
        <w:tc>
          <w:tcPr>
            <w:tcW w:w="2268" w:type="dxa"/>
          </w:tcPr>
          <w:p w:rsidR="008903E0" w:rsidRPr="00733107" w:rsidRDefault="008F5621" w:rsidP="00214949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733107">
              <w:rPr>
                <w:sz w:val="24"/>
                <w:szCs w:val="24"/>
                <w:lang w:val="ru-RU"/>
              </w:rPr>
              <w:t>Частота</w:t>
            </w:r>
          </w:p>
        </w:tc>
        <w:tc>
          <w:tcPr>
            <w:tcW w:w="7229" w:type="dxa"/>
          </w:tcPr>
          <w:p w:rsidR="008903E0" w:rsidRPr="00733107" w:rsidRDefault="008903E0" w:rsidP="00214949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733107">
              <w:rPr>
                <w:rFonts w:cstheme="minorHAnsi"/>
                <w:sz w:val="24"/>
                <w:szCs w:val="24"/>
                <w:lang w:val="fr-FR"/>
              </w:rPr>
              <w:t>28</w:t>
            </w:r>
            <w:r w:rsidR="008F5621" w:rsidRPr="00733107">
              <w:rPr>
                <w:rFonts w:cstheme="minorHAnsi"/>
                <w:sz w:val="24"/>
                <w:szCs w:val="24"/>
                <w:lang w:val="fr-FR"/>
              </w:rPr>
              <w:t> </w:t>
            </w:r>
            <w:r w:rsidRPr="00733107">
              <w:rPr>
                <w:rFonts w:cstheme="minorHAnsi"/>
                <w:sz w:val="24"/>
                <w:szCs w:val="24"/>
                <w:lang w:val="fr-FR"/>
              </w:rPr>
              <w:t>800</w:t>
            </w:r>
            <w:r w:rsidR="008F5621" w:rsidRPr="00733107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5621" w:rsidRPr="00733107">
              <w:rPr>
                <w:sz w:val="24"/>
                <w:szCs w:val="24"/>
                <w:lang w:val="ru-RU"/>
              </w:rPr>
              <w:t>пк</w:t>
            </w:r>
            <w:proofErr w:type="spellEnd"/>
            <w:r w:rsidR="008F5621" w:rsidRPr="00733107">
              <w:rPr>
                <w:sz w:val="24"/>
                <w:szCs w:val="24"/>
                <w:lang w:val="ru-RU"/>
              </w:rPr>
              <w:t>/ч – 4 Гц</w:t>
            </w:r>
          </w:p>
          <w:p w:rsidR="008903E0" w:rsidRPr="00733107" w:rsidRDefault="008903E0" w:rsidP="00214949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8903E0" w:rsidRPr="00DD30DC" w:rsidTr="00DD30DC">
        <w:tc>
          <w:tcPr>
            <w:tcW w:w="2268" w:type="dxa"/>
          </w:tcPr>
          <w:p w:rsidR="008903E0" w:rsidRPr="00733107" w:rsidRDefault="008F5621" w:rsidP="00214949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733107">
              <w:rPr>
                <w:sz w:val="24"/>
                <w:szCs w:val="24"/>
                <w:lang w:val="ru-RU"/>
              </w:rPr>
              <w:t>Запас хода</w:t>
            </w:r>
          </w:p>
        </w:tc>
        <w:tc>
          <w:tcPr>
            <w:tcW w:w="7229" w:type="dxa"/>
          </w:tcPr>
          <w:p w:rsidR="008903E0" w:rsidRPr="00733107" w:rsidRDefault="008903E0" w:rsidP="00214949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733107">
              <w:rPr>
                <w:rFonts w:cstheme="minorHAnsi"/>
                <w:sz w:val="24"/>
                <w:szCs w:val="24"/>
                <w:lang w:val="fr-FR"/>
              </w:rPr>
              <w:t xml:space="preserve">48 </w:t>
            </w:r>
            <w:r w:rsidR="008F5621" w:rsidRPr="00733107">
              <w:rPr>
                <w:sz w:val="24"/>
                <w:szCs w:val="24"/>
                <w:lang w:val="ru-RU"/>
              </w:rPr>
              <w:t>часов</w:t>
            </w:r>
          </w:p>
          <w:p w:rsidR="008903E0" w:rsidRPr="00733107" w:rsidRDefault="008903E0" w:rsidP="00214949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8903E0" w:rsidRPr="00DD598A" w:rsidTr="00DD30DC">
        <w:tc>
          <w:tcPr>
            <w:tcW w:w="2268" w:type="dxa"/>
          </w:tcPr>
          <w:p w:rsidR="008903E0" w:rsidRPr="00733107" w:rsidRDefault="008F5621" w:rsidP="00214949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733107">
              <w:rPr>
                <w:sz w:val="24"/>
                <w:szCs w:val="24"/>
                <w:lang w:val="ru-RU"/>
              </w:rPr>
              <w:t>Материалы</w:t>
            </w:r>
          </w:p>
        </w:tc>
        <w:tc>
          <w:tcPr>
            <w:tcW w:w="7229" w:type="dxa"/>
          </w:tcPr>
          <w:p w:rsidR="008F5621" w:rsidRPr="00733107" w:rsidRDefault="008F5621" w:rsidP="008F5621">
            <w:pPr>
              <w:jc w:val="both"/>
              <w:rPr>
                <w:sz w:val="24"/>
                <w:szCs w:val="24"/>
                <w:lang w:val="ru-RU"/>
              </w:rPr>
            </w:pPr>
            <w:r w:rsidRPr="00733107">
              <w:rPr>
                <w:rFonts w:cs="Calibri"/>
                <w:color w:val="000000"/>
                <w:sz w:val="24"/>
                <w:szCs w:val="24"/>
                <w:lang w:val="ru-RU"/>
              </w:rPr>
              <w:t>Сателлитный час из алюминия, приводимый в движение женевскими крестами из бериллиевой бронзы</w:t>
            </w:r>
            <w:r w:rsidRPr="00733107">
              <w:rPr>
                <w:sz w:val="24"/>
                <w:szCs w:val="24"/>
                <w:lang w:val="ru-RU"/>
              </w:rPr>
              <w:t xml:space="preserve">; карусель из алюминия; тройная платина из </w:t>
            </w:r>
            <w:proofErr w:type="spellStart"/>
            <w:r w:rsidRPr="00733107">
              <w:rPr>
                <w:sz w:val="24"/>
                <w:szCs w:val="24"/>
                <w:lang w:val="fr-FR"/>
              </w:rPr>
              <w:t>ARCAP</w:t>
            </w:r>
            <w:proofErr w:type="spellEnd"/>
          </w:p>
          <w:p w:rsidR="008903E0" w:rsidRPr="00733107" w:rsidRDefault="008903E0" w:rsidP="00214949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903E0" w:rsidRPr="00DD598A" w:rsidTr="00DD30DC">
        <w:tc>
          <w:tcPr>
            <w:tcW w:w="2268" w:type="dxa"/>
          </w:tcPr>
          <w:p w:rsidR="008903E0" w:rsidRPr="00733107" w:rsidRDefault="008F5621" w:rsidP="00214949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733107">
              <w:rPr>
                <w:sz w:val="24"/>
                <w:szCs w:val="24"/>
                <w:lang w:val="ru-RU"/>
              </w:rPr>
              <w:t>Отделка</w:t>
            </w:r>
          </w:p>
        </w:tc>
        <w:tc>
          <w:tcPr>
            <w:tcW w:w="7229" w:type="dxa"/>
          </w:tcPr>
          <w:p w:rsidR="008F5621" w:rsidRPr="00733107" w:rsidRDefault="008F5621" w:rsidP="008F5621">
            <w:pPr>
              <w:jc w:val="both"/>
              <w:rPr>
                <w:sz w:val="24"/>
                <w:szCs w:val="24"/>
                <w:lang w:val="ru-RU"/>
              </w:rPr>
            </w:pPr>
            <w:r w:rsidRPr="00733107">
              <w:rPr>
                <w:sz w:val="24"/>
                <w:szCs w:val="24"/>
                <w:lang w:val="ru-RU"/>
              </w:rPr>
              <w:t xml:space="preserve">Круговое зернение, пескоструйная обработка, </w:t>
            </w:r>
            <w:proofErr w:type="spellStart"/>
            <w:r w:rsidRPr="00733107">
              <w:rPr>
                <w:sz w:val="24"/>
                <w:szCs w:val="24"/>
                <w:lang w:val="ru-RU"/>
              </w:rPr>
              <w:t>микродробеструйная</w:t>
            </w:r>
            <w:proofErr w:type="spellEnd"/>
            <w:r w:rsidRPr="00733107">
              <w:rPr>
                <w:sz w:val="24"/>
                <w:szCs w:val="24"/>
                <w:lang w:val="ru-RU"/>
              </w:rPr>
              <w:t xml:space="preserve"> обработка, круговое шлифование </w:t>
            </w:r>
          </w:p>
          <w:p w:rsidR="008F5621" w:rsidRPr="00733107" w:rsidRDefault="008F5621" w:rsidP="008F5621">
            <w:pPr>
              <w:jc w:val="both"/>
              <w:rPr>
                <w:sz w:val="24"/>
                <w:szCs w:val="24"/>
                <w:lang w:val="ru-RU"/>
              </w:rPr>
            </w:pPr>
            <w:r w:rsidRPr="00733107">
              <w:rPr>
                <w:sz w:val="24"/>
                <w:szCs w:val="24"/>
                <w:lang w:val="ru-RU"/>
              </w:rPr>
              <w:t xml:space="preserve">Головки винтов со скошенными кромками </w:t>
            </w:r>
          </w:p>
          <w:p w:rsidR="008F5621" w:rsidRPr="00733107" w:rsidRDefault="008F5621" w:rsidP="008F5621">
            <w:pPr>
              <w:jc w:val="both"/>
              <w:rPr>
                <w:sz w:val="24"/>
                <w:szCs w:val="24"/>
                <w:lang w:val="ru-RU"/>
              </w:rPr>
            </w:pPr>
            <w:r w:rsidRPr="00733107">
              <w:rPr>
                <w:sz w:val="24"/>
                <w:szCs w:val="24"/>
                <w:lang w:val="ru-RU"/>
              </w:rPr>
              <w:t xml:space="preserve">Часовые и минутные деления с покрытием </w:t>
            </w:r>
            <w:proofErr w:type="spellStart"/>
            <w:r w:rsidRPr="00733107">
              <w:rPr>
                <w:sz w:val="24"/>
                <w:szCs w:val="24"/>
                <w:lang w:val="fr-FR"/>
              </w:rPr>
              <w:t>SuperLumiNova</w:t>
            </w:r>
            <w:proofErr w:type="spellEnd"/>
          </w:p>
          <w:p w:rsidR="008903E0" w:rsidRPr="00733107" w:rsidRDefault="008903E0" w:rsidP="00214949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F5621" w:rsidRPr="00DD598A" w:rsidTr="00DD30DC">
        <w:tc>
          <w:tcPr>
            <w:tcW w:w="2268" w:type="dxa"/>
          </w:tcPr>
          <w:p w:rsidR="008F5621" w:rsidRPr="00733107" w:rsidRDefault="008F5621" w:rsidP="008F5621">
            <w:pPr>
              <w:jc w:val="both"/>
              <w:rPr>
                <w:sz w:val="24"/>
                <w:szCs w:val="24"/>
                <w:lang w:val="ru-RU"/>
              </w:rPr>
            </w:pPr>
            <w:r w:rsidRPr="00733107">
              <w:rPr>
                <w:sz w:val="24"/>
                <w:szCs w:val="24"/>
                <w:lang w:val="ru-RU"/>
              </w:rPr>
              <w:t>Указатели</w:t>
            </w:r>
          </w:p>
          <w:p w:rsidR="008F5621" w:rsidRPr="00733107" w:rsidRDefault="008F5621" w:rsidP="008F5621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</w:p>
        </w:tc>
        <w:tc>
          <w:tcPr>
            <w:tcW w:w="7229" w:type="dxa"/>
          </w:tcPr>
          <w:p w:rsidR="008F5621" w:rsidRPr="00733107" w:rsidRDefault="008F5621" w:rsidP="008F5621">
            <w:pPr>
              <w:jc w:val="both"/>
              <w:rPr>
                <w:sz w:val="24"/>
                <w:szCs w:val="24"/>
                <w:lang w:val="ru-RU"/>
              </w:rPr>
            </w:pPr>
            <w:r w:rsidRPr="00733107">
              <w:rPr>
                <w:sz w:val="24"/>
                <w:szCs w:val="24"/>
                <w:lang w:val="ru-RU"/>
              </w:rPr>
              <w:t xml:space="preserve">Сателлитный час; минуты; расстояние, проходимое на Экваторе Земли за 20 минут, вращение Земли вокруг Солнца за 20 минут </w:t>
            </w:r>
          </w:p>
        </w:tc>
      </w:tr>
      <w:tr w:rsidR="008F5621" w:rsidRPr="00DD598A" w:rsidTr="00DD30DC">
        <w:tc>
          <w:tcPr>
            <w:tcW w:w="2268" w:type="dxa"/>
          </w:tcPr>
          <w:p w:rsidR="008F5621" w:rsidRPr="00733107" w:rsidRDefault="008F5621" w:rsidP="008F562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F5621" w:rsidRPr="00733107" w:rsidRDefault="008F5621" w:rsidP="008F562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8F5621" w:rsidRPr="00733107" w:rsidRDefault="008F5621" w:rsidP="008F562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F5621" w:rsidRPr="00DD30DC" w:rsidTr="00DD30DC">
        <w:tc>
          <w:tcPr>
            <w:tcW w:w="2268" w:type="dxa"/>
          </w:tcPr>
          <w:p w:rsidR="008F5621" w:rsidRPr="00733107" w:rsidRDefault="008F5621" w:rsidP="008F5621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fr-FR"/>
              </w:rPr>
            </w:pPr>
            <w:r w:rsidRPr="00733107">
              <w:rPr>
                <w:b/>
                <w:bCs/>
                <w:sz w:val="24"/>
                <w:szCs w:val="24"/>
                <w:lang w:val="ru-RU"/>
              </w:rPr>
              <w:t>Корпус</w:t>
            </w:r>
          </w:p>
        </w:tc>
        <w:tc>
          <w:tcPr>
            <w:tcW w:w="7229" w:type="dxa"/>
          </w:tcPr>
          <w:p w:rsidR="008F5621" w:rsidRPr="00733107" w:rsidRDefault="008F5621" w:rsidP="008F5621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8F5621" w:rsidRPr="00DD30DC" w:rsidTr="00DD30DC">
        <w:tc>
          <w:tcPr>
            <w:tcW w:w="2268" w:type="dxa"/>
          </w:tcPr>
          <w:p w:rsidR="008F5621" w:rsidRPr="00733107" w:rsidRDefault="008F5621" w:rsidP="008F5621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733107">
              <w:rPr>
                <w:sz w:val="24"/>
                <w:szCs w:val="24"/>
                <w:lang w:val="ru-RU"/>
              </w:rPr>
              <w:t>Материал</w:t>
            </w:r>
          </w:p>
        </w:tc>
        <w:tc>
          <w:tcPr>
            <w:tcW w:w="7229" w:type="dxa"/>
          </w:tcPr>
          <w:p w:rsidR="008F5621" w:rsidRPr="00733107" w:rsidRDefault="00733107" w:rsidP="008F5621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733107">
              <w:rPr>
                <w:sz w:val="24"/>
                <w:szCs w:val="24"/>
                <w:lang w:val="ru-RU"/>
              </w:rPr>
              <w:t xml:space="preserve">Титан, с пескоструйной и </w:t>
            </w:r>
            <w:proofErr w:type="spellStart"/>
            <w:r w:rsidRPr="00733107">
              <w:rPr>
                <w:sz w:val="24"/>
                <w:szCs w:val="24"/>
                <w:lang w:val="ru-RU"/>
              </w:rPr>
              <w:t>микродробеструйной</w:t>
            </w:r>
            <w:proofErr w:type="spellEnd"/>
            <w:r w:rsidRPr="00733107">
              <w:rPr>
                <w:sz w:val="24"/>
                <w:szCs w:val="24"/>
                <w:lang w:val="ru-RU"/>
              </w:rPr>
              <w:t xml:space="preserve"> обработкой. Фиолетовое покрытие </w:t>
            </w:r>
            <w:proofErr w:type="spellStart"/>
            <w:r w:rsidRPr="00733107">
              <w:rPr>
                <w:sz w:val="24"/>
                <w:szCs w:val="24"/>
                <w:lang w:val="fr-FR"/>
              </w:rPr>
              <w:t>DLC</w:t>
            </w:r>
            <w:proofErr w:type="spellEnd"/>
            <w:r w:rsidR="008F5621" w:rsidRPr="00733107">
              <w:rPr>
                <w:rFonts w:cstheme="minorHAnsi"/>
                <w:sz w:val="24"/>
                <w:szCs w:val="24"/>
                <w:lang w:val="fr-FR"/>
              </w:rPr>
              <w:t>.</w:t>
            </w:r>
          </w:p>
          <w:p w:rsidR="008F5621" w:rsidRPr="00733107" w:rsidRDefault="008F5621" w:rsidP="008F5621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8F5621" w:rsidRPr="00DD598A" w:rsidTr="00DD30DC">
        <w:tc>
          <w:tcPr>
            <w:tcW w:w="2268" w:type="dxa"/>
          </w:tcPr>
          <w:p w:rsidR="008F5621" w:rsidRPr="00733107" w:rsidRDefault="00733107" w:rsidP="008F5621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733107">
              <w:rPr>
                <w:sz w:val="24"/>
                <w:szCs w:val="24"/>
                <w:lang w:val="ru-RU"/>
              </w:rPr>
              <w:t>Размеры</w:t>
            </w:r>
          </w:p>
        </w:tc>
        <w:tc>
          <w:tcPr>
            <w:tcW w:w="7229" w:type="dxa"/>
          </w:tcPr>
          <w:p w:rsidR="00733107" w:rsidRPr="00733107" w:rsidRDefault="00733107" w:rsidP="00733107">
            <w:pPr>
              <w:jc w:val="both"/>
              <w:rPr>
                <w:sz w:val="24"/>
                <w:szCs w:val="24"/>
                <w:lang w:val="ru-RU"/>
              </w:rPr>
            </w:pPr>
            <w:r w:rsidRPr="00733107">
              <w:rPr>
                <w:sz w:val="24"/>
                <w:szCs w:val="24"/>
                <w:lang w:val="ru-RU"/>
              </w:rPr>
              <w:t>Ширина 41,0 мм, длина 49,7 мм, толщина 14,0 мм</w:t>
            </w:r>
          </w:p>
          <w:p w:rsidR="008F5621" w:rsidRPr="00733107" w:rsidRDefault="008F5621" w:rsidP="008F562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F5621" w:rsidRPr="00DD30DC" w:rsidTr="00DD30DC">
        <w:tc>
          <w:tcPr>
            <w:tcW w:w="2268" w:type="dxa"/>
          </w:tcPr>
          <w:p w:rsidR="008F5621" w:rsidRPr="00733107" w:rsidRDefault="00733107" w:rsidP="008F5621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733107">
              <w:rPr>
                <w:sz w:val="24"/>
                <w:szCs w:val="24"/>
                <w:lang w:val="ru-RU"/>
              </w:rPr>
              <w:t>Стекло</w:t>
            </w:r>
          </w:p>
        </w:tc>
        <w:tc>
          <w:tcPr>
            <w:tcW w:w="7229" w:type="dxa"/>
          </w:tcPr>
          <w:p w:rsidR="00733107" w:rsidRPr="00733107" w:rsidRDefault="00733107" w:rsidP="00733107">
            <w:pPr>
              <w:jc w:val="both"/>
              <w:rPr>
                <w:sz w:val="24"/>
                <w:szCs w:val="24"/>
                <w:lang w:val="fr-FR"/>
              </w:rPr>
            </w:pPr>
            <w:r w:rsidRPr="00733107">
              <w:rPr>
                <w:sz w:val="24"/>
                <w:szCs w:val="24"/>
                <w:lang w:val="ru-RU"/>
              </w:rPr>
              <w:t>Сапфировое стекло</w:t>
            </w:r>
          </w:p>
          <w:p w:rsidR="008F5621" w:rsidRPr="00733107" w:rsidRDefault="008F5621" w:rsidP="008F5621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8F5621" w:rsidRPr="00DD598A" w:rsidTr="00DD30DC">
        <w:tc>
          <w:tcPr>
            <w:tcW w:w="2268" w:type="dxa"/>
          </w:tcPr>
          <w:p w:rsidR="008F5621" w:rsidRPr="00733107" w:rsidRDefault="00733107" w:rsidP="008F5621">
            <w:pPr>
              <w:jc w:val="both"/>
              <w:rPr>
                <w:rFonts w:cstheme="minorHAnsi"/>
                <w:sz w:val="24"/>
                <w:szCs w:val="24"/>
                <w:lang w:val="fr-FR"/>
              </w:rPr>
            </w:pPr>
            <w:r w:rsidRPr="00733107">
              <w:rPr>
                <w:sz w:val="24"/>
                <w:szCs w:val="24"/>
                <w:lang w:val="ru-RU" w:eastAsia="ar-SA"/>
              </w:rPr>
              <w:t>Водонепроницаемость</w:t>
            </w:r>
          </w:p>
        </w:tc>
        <w:tc>
          <w:tcPr>
            <w:tcW w:w="7229" w:type="dxa"/>
          </w:tcPr>
          <w:p w:rsidR="008F5621" w:rsidRPr="00733107" w:rsidRDefault="00733107" w:rsidP="008F5621">
            <w:pPr>
              <w:jc w:val="both"/>
              <w:rPr>
                <w:sz w:val="24"/>
                <w:szCs w:val="24"/>
                <w:lang w:val="ru-RU"/>
              </w:rPr>
            </w:pPr>
            <w:r w:rsidRPr="00733107">
              <w:rPr>
                <w:sz w:val="24"/>
                <w:szCs w:val="24"/>
                <w:lang w:val="ru-RU"/>
              </w:rPr>
              <w:t>Давление протестировано на глубине 3 атмосферы (30 м)</w:t>
            </w:r>
          </w:p>
          <w:p w:rsidR="00733107" w:rsidRPr="00733107" w:rsidRDefault="00733107" w:rsidP="008F562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F5621" w:rsidRPr="00DD598A" w:rsidTr="00DD30DC">
        <w:tc>
          <w:tcPr>
            <w:tcW w:w="2268" w:type="dxa"/>
          </w:tcPr>
          <w:p w:rsidR="008F5621" w:rsidRPr="007D5F60" w:rsidRDefault="007D5F60" w:rsidP="008F562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Ремешок</w:t>
            </w:r>
          </w:p>
        </w:tc>
        <w:tc>
          <w:tcPr>
            <w:tcW w:w="7229" w:type="dxa"/>
          </w:tcPr>
          <w:p w:rsidR="008F5621" w:rsidRPr="00733107" w:rsidRDefault="00544242" w:rsidP="008F562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Каучуковый со структурным рисунком, с </w:t>
            </w:r>
            <w:r w:rsidR="00A65952" w:rsidRPr="00A65952">
              <w:rPr>
                <w:sz w:val="24"/>
                <w:szCs w:val="24"/>
                <w:lang w:val="ru-RU"/>
              </w:rPr>
              <w:t>раскладывающейся</w:t>
            </w:r>
            <w:r w:rsidR="00A65952" w:rsidRPr="00E61C78">
              <w:rPr>
                <w:lang w:val="ru-RU"/>
              </w:rPr>
              <w:t xml:space="preserve"> </w:t>
            </w:r>
            <w:r w:rsidR="00733107" w:rsidRPr="00733107">
              <w:rPr>
                <w:rFonts w:cstheme="minorHAnsi"/>
                <w:sz w:val="24"/>
                <w:szCs w:val="24"/>
                <w:lang w:val="ru-RU"/>
              </w:rPr>
              <w:t>застежкой</w:t>
            </w:r>
          </w:p>
        </w:tc>
      </w:tr>
      <w:tr w:rsidR="008F5621" w:rsidRPr="00DD598A" w:rsidTr="00DD30DC">
        <w:tc>
          <w:tcPr>
            <w:tcW w:w="2268" w:type="dxa"/>
          </w:tcPr>
          <w:p w:rsidR="008F5621" w:rsidRPr="00733107" w:rsidRDefault="008F5621" w:rsidP="008F562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8F5621" w:rsidRPr="00733107" w:rsidRDefault="00733107" w:rsidP="008F562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33107">
              <w:rPr>
                <w:rFonts w:cstheme="minorHAnsi"/>
                <w:sz w:val="24"/>
                <w:szCs w:val="24"/>
                <w:lang w:val="ru-RU"/>
              </w:rPr>
              <w:t>Цена</w:t>
            </w:r>
            <w:r w:rsidR="008F5621" w:rsidRPr="00733107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7D5F60" w:rsidRPr="00DD30DC">
              <w:rPr>
                <w:rFonts w:cstheme="minorHAnsi"/>
                <w:sz w:val="24"/>
                <w:szCs w:val="24"/>
                <w:lang w:val="fr-FR"/>
              </w:rPr>
              <w:t>CHF</w:t>
            </w:r>
            <w:r w:rsidR="007D5F60" w:rsidRPr="00733107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8F5621" w:rsidRPr="00733107">
              <w:rPr>
                <w:rFonts w:cstheme="minorHAnsi"/>
                <w:sz w:val="24"/>
                <w:szCs w:val="24"/>
                <w:lang w:val="ru-RU"/>
              </w:rPr>
              <w:t>55</w:t>
            </w:r>
            <w:r w:rsidRPr="00733107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8F5621" w:rsidRPr="00733107">
              <w:rPr>
                <w:rFonts w:cstheme="minorHAnsi"/>
                <w:sz w:val="24"/>
                <w:szCs w:val="24"/>
                <w:lang w:val="ru-RU"/>
              </w:rPr>
              <w:t>000.00 (</w:t>
            </w:r>
            <w:r w:rsidRPr="00733107">
              <w:rPr>
                <w:sz w:val="24"/>
                <w:szCs w:val="24"/>
                <w:lang w:val="ru-RU"/>
              </w:rPr>
              <w:t>швейцарских франков / без НДС</w:t>
            </w:r>
            <w:r w:rsidR="008F5621" w:rsidRPr="00733107">
              <w:rPr>
                <w:rFonts w:cstheme="minorHAnsi"/>
                <w:sz w:val="24"/>
                <w:szCs w:val="24"/>
                <w:lang w:val="ru-RU"/>
              </w:rPr>
              <w:t>)</w:t>
            </w:r>
          </w:p>
        </w:tc>
      </w:tr>
    </w:tbl>
    <w:p w:rsidR="00490912" w:rsidRPr="00733107" w:rsidRDefault="00490912" w:rsidP="00214949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</w:p>
    <w:p w:rsidR="00490912" w:rsidRPr="00733107" w:rsidRDefault="00490912" w:rsidP="00214949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733107">
        <w:rPr>
          <w:rFonts w:cstheme="minorHAnsi"/>
          <w:sz w:val="24"/>
          <w:szCs w:val="24"/>
          <w:lang w:val="ru-RU"/>
        </w:rPr>
        <w:t>________________________</w:t>
      </w:r>
    </w:p>
    <w:p w:rsidR="00F85895" w:rsidRPr="008040E5" w:rsidRDefault="00733107" w:rsidP="00214949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8040E5">
        <w:rPr>
          <w:sz w:val="24"/>
          <w:szCs w:val="24"/>
          <w:lang w:val="ru-RU"/>
        </w:rPr>
        <w:t>Контакт: Ясин Сар (</w:t>
      </w:r>
      <w:r w:rsidRPr="008040E5">
        <w:rPr>
          <w:sz w:val="24"/>
          <w:szCs w:val="24"/>
          <w:lang w:val="fr-FR"/>
        </w:rPr>
        <w:t>Ms</w:t>
      </w:r>
      <w:r w:rsidRPr="008040E5">
        <w:rPr>
          <w:sz w:val="24"/>
          <w:szCs w:val="24"/>
          <w:lang w:val="ru-RU"/>
        </w:rPr>
        <w:t xml:space="preserve"> </w:t>
      </w:r>
      <w:r w:rsidRPr="008040E5">
        <w:rPr>
          <w:sz w:val="24"/>
          <w:szCs w:val="24"/>
          <w:lang w:val="fr-FR"/>
        </w:rPr>
        <w:t>Yacine</w:t>
      </w:r>
      <w:r w:rsidRPr="008040E5">
        <w:rPr>
          <w:sz w:val="24"/>
          <w:szCs w:val="24"/>
          <w:lang w:val="ru-RU"/>
        </w:rPr>
        <w:t xml:space="preserve"> </w:t>
      </w:r>
      <w:r w:rsidRPr="008040E5">
        <w:rPr>
          <w:sz w:val="24"/>
          <w:szCs w:val="24"/>
          <w:lang w:val="fr-FR"/>
        </w:rPr>
        <w:t>Sar</w:t>
      </w:r>
      <w:r w:rsidRPr="008040E5">
        <w:rPr>
          <w:sz w:val="24"/>
          <w:szCs w:val="24"/>
          <w:lang w:val="ru-RU"/>
        </w:rPr>
        <w:t>)</w:t>
      </w:r>
    </w:p>
    <w:p w:rsidR="00F85895" w:rsidRPr="00733107" w:rsidRDefault="00787F58" w:rsidP="00214949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hyperlink r:id="rId17" w:history="1">
        <w:r w:rsidR="00F85895" w:rsidRPr="00DD30DC">
          <w:rPr>
            <w:rStyle w:val="Lienhypertexte"/>
            <w:rFonts w:cstheme="minorHAnsi"/>
            <w:sz w:val="24"/>
            <w:szCs w:val="24"/>
            <w:lang w:val="fr-FR"/>
          </w:rPr>
          <w:t>press</w:t>
        </w:r>
        <w:r w:rsidR="00F85895" w:rsidRPr="00733107">
          <w:rPr>
            <w:rStyle w:val="Lienhypertexte"/>
            <w:rFonts w:cstheme="minorHAnsi"/>
            <w:sz w:val="24"/>
            <w:szCs w:val="24"/>
            <w:lang w:val="ru-RU"/>
          </w:rPr>
          <w:t>@</w:t>
        </w:r>
        <w:r w:rsidR="00F85895" w:rsidRPr="00DD30DC">
          <w:rPr>
            <w:rStyle w:val="Lienhypertexte"/>
            <w:rFonts w:cstheme="minorHAnsi"/>
            <w:sz w:val="24"/>
            <w:szCs w:val="24"/>
            <w:lang w:val="fr-FR"/>
          </w:rPr>
          <w:t>urwerk</w:t>
        </w:r>
        <w:r w:rsidR="00F85895" w:rsidRPr="00733107">
          <w:rPr>
            <w:rStyle w:val="Lienhypertexte"/>
            <w:rFonts w:cstheme="minorHAnsi"/>
            <w:sz w:val="24"/>
            <w:szCs w:val="24"/>
            <w:lang w:val="ru-RU"/>
          </w:rPr>
          <w:t>.</w:t>
        </w:r>
        <w:r w:rsidR="00F85895" w:rsidRPr="00DD30DC">
          <w:rPr>
            <w:rStyle w:val="Lienhypertexte"/>
            <w:rFonts w:cstheme="minorHAnsi"/>
            <w:sz w:val="24"/>
            <w:szCs w:val="24"/>
            <w:lang w:val="fr-FR"/>
          </w:rPr>
          <w:t>com</w:t>
        </w:r>
      </w:hyperlink>
    </w:p>
    <w:p w:rsidR="00F85895" w:rsidRPr="00733107" w:rsidRDefault="00787F58" w:rsidP="00214949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hyperlink r:id="rId18" w:history="1">
        <w:r w:rsidR="00F85895" w:rsidRPr="00DD30DC">
          <w:rPr>
            <w:rStyle w:val="Lienhypertexte"/>
            <w:rFonts w:cstheme="minorHAnsi"/>
            <w:sz w:val="24"/>
            <w:szCs w:val="24"/>
            <w:lang w:val="fr-FR"/>
          </w:rPr>
          <w:t>www</w:t>
        </w:r>
        <w:r w:rsidR="00F85895" w:rsidRPr="00733107">
          <w:rPr>
            <w:rStyle w:val="Lienhypertexte"/>
            <w:rFonts w:cstheme="minorHAnsi"/>
            <w:sz w:val="24"/>
            <w:szCs w:val="24"/>
            <w:lang w:val="ru-RU"/>
          </w:rPr>
          <w:t>.</w:t>
        </w:r>
        <w:proofErr w:type="spellStart"/>
        <w:r w:rsidR="00F85895" w:rsidRPr="00DD30DC">
          <w:rPr>
            <w:rStyle w:val="Lienhypertexte"/>
            <w:rFonts w:cstheme="minorHAnsi"/>
            <w:sz w:val="24"/>
            <w:szCs w:val="24"/>
            <w:lang w:val="fr-FR"/>
          </w:rPr>
          <w:t>urwerk</w:t>
        </w:r>
        <w:proofErr w:type="spellEnd"/>
        <w:r w:rsidR="00F85895" w:rsidRPr="00733107">
          <w:rPr>
            <w:rStyle w:val="Lienhypertexte"/>
            <w:rFonts w:cstheme="minorHAnsi"/>
            <w:sz w:val="24"/>
            <w:szCs w:val="24"/>
            <w:lang w:val="ru-RU"/>
          </w:rPr>
          <w:t>.</w:t>
        </w:r>
        <w:r w:rsidR="00F85895" w:rsidRPr="00DD30DC">
          <w:rPr>
            <w:rStyle w:val="Lienhypertexte"/>
            <w:rFonts w:cstheme="minorHAnsi"/>
            <w:sz w:val="24"/>
            <w:szCs w:val="24"/>
            <w:lang w:val="fr-FR"/>
          </w:rPr>
          <w:t>com</w:t>
        </w:r>
      </w:hyperlink>
    </w:p>
    <w:p w:rsidR="00F85895" w:rsidRPr="00733107" w:rsidRDefault="00F85895" w:rsidP="00214949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733107">
        <w:rPr>
          <w:rFonts w:cstheme="minorHAnsi"/>
          <w:sz w:val="24"/>
          <w:szCs w:val="24"/>
          <w:lang w:val="ru-RU"/>
        </w:rPr>
        <w:t>+41 22</w:t>
      </w:r>
      <w:r w:rsidRPr="00DD30DC">
        <w:rPr>
          <w:rFonts w:cstheme="minorHAnsi"/>
          <w:sz w:val="24"/>
          <w:szCs w:val="24"/>
          <w:lang w:val="fr-FR"/>
        </w:rPr>
        <w:t> </w:t>
      </w:r>
      <w:r w:rsidRPr="00733107">
        <w:rPr>
          <w:rFonts w:cstheme="minorHAnsi"/>
          <w:sz w:val="24"/>
          <w:szCs w:val="24"/>
          <w:lang w:val="ru-RU"/>
        </w:rPr>
        <w:t>900 20 27</w:t>
      </w:r>
    </w:p>
    <w:sectPr w:rsidR="00F85895" w:rsidRPr="00733107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F58" w:rsidRDefault="00787F58" w:rsidP="002049EF">
      <w:pPr>
        <w:spacing w:after="0" w:line="240" w:lineRule="auto"/>
      </w:pPr>
      <w:r>
        <w:separator/>
      </w:r>
    </w:p>
  </w:endnote>
  <w:endnote w:type="continuationSeparator" w:id="0">
    <w:p w:rsidR="00787F58" w:rsidRDefault="00787F58" w:rsidP="0020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BB" w:rsidRDefault="00A0742A" w:rsidP="00102187">
    <w:pPr>
      <w:jc w:val="center"/>
    </w:pPr>
    <w:r>
      <w:t>E</w:t>
    </w:r>
    <w:r w:rsidR="00F130BB" w:rsidRPr="00F130BB">
      <w:t xml:space="preserve">mbargo </w:t>
    </w:r>
    <w:r w:rsidR="00364191">
      <w:t>30 août</w:t>
    </w:r>
    <w:r w:rsidR="00964A0D">
      <w:t xml:space="preserve"> 2022 </w:t>
    </w:r>
    <w:r w:rsidR="00102187">
      <w:t xml:space="preserve">– </w:t>
    </w:r>
    <w:r>
      <w:t>1</w:t>
    </w:r>
    <w:r w:rsidR="000C350B">
      <w:t>0</w:t>
    </w:r>
    <w:r w:rsidR="00102187">
      <w:t xml:space="preserve">h00 </w:t>
    </w:r>
    <w:proofErr w:type="spellStart"/>
    <w:r w:rsidR="00102187">
      <w:t>GVA</w:t>
    </w:r>
    <w:proofErr w:type="spellEnd"/>
    <w:r w:rsidR="00102187">
      <w:t xml:space="preserve"> time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F58" w:rsidRDefault="00787F58" w:rsidP="002049EF">
      <w:pPr>
        <w:spacing w:after="0" w:line="240" w:lineRule="auto"/>
      </w:pPr>
      <w:r>
        <w:separator/>
      </w:r>
    </w:p>
  </w:footnote>
  <w:footnote w:type="continuationSeparator" w:id="0">
    <w:p w:rsidR="00787F58" w:rsidRDefault="00787F58" w:rsidP="0020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4E8" w:rsidRDefault="00AE04E8" w:rsidP="00AE04E8">
    <w:pPr>
      <w:pStyle w:val="En-tte"/>
      <w:jc w:val="right"/>
    </w:pPr>
    <w:r>
      <w:rPr>
        <w:noProof/>
        <w:lang w:eastAsia="fr-CH"/>
      </w:rPr>
      <w:drawing>
        <wp:inline distT="0" distB="0" distL="0" distR="0">
          <wp:extent cx="2520000" cy="684412"/>
          <wp:effectExtent l="0" t="0" r="0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urwerk-Pos-Black-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71"/>
    <w:rsid w:val="0000405D"/>
    <w:rsid w:val="00014BC8"/>
    <w:rsid w:val="00036A3C"/>
    <w:rsid w:val="00036C97"/>
    <w:rsid w:val="00073879"/>
    <w:rsid w:val="00083A5E"/>
    <w:rsid w:val="000929CE"/>
    <w:rsid w:val="00095D31"/>
    <w:rsid w:val="000B749B"/>
    <w:rsid w:val="000C350B"/>
    <w:rsid w:val="000C648A"/>
    <w:rsid w:val="000C6FD3"/>
    <w:rsid w:val="000F0B65"/>
    <w:rsid w:val="000F1D7C"/>
    <w:rsid w:val="00102187"/>
    <w:rsid w:val="00103F3A"/>
    <w:rsid w:val="00133DD9"/>
    <w:rsid w:val="00142837"/>
    <w:rsid w:val="001504EB"/>
    <w:rsid w:val="00157474"/>
    <w:rsid w:val="00157AF5"/>
    <w:rsid w:val="001A0F11"/>
    <w:rsid w:val="001A31D7"/>
    <w:rsid w:val="001A6B74"/>
    <w:rsid w:val="001B5237"/>
    <w:rsid w:val="001C177A"/>
    <w:rsid w:val="001C30A1"/>
    <w:rsid w:val="001C6255"/>
    <w:rsid w:val="002049EF"/>
    <w:rsid w:val="00210871"/>
    <w:rsid w:val="00213C54"/>
    <w:rsid w:val="00214949"/>
    <w:rsid w:val="002170E4"/>
    <w:rsid w:val="00221FCF"/>
    <w:rsid w:val="00226CFB"/>
    <w:rsid w:val="00233559"/>
    <w:rsid w:val="00256788"/>
    <w:rsid w:val="00264A24"/>
    <w:rsid w:val="002657E5"/>
    <w:rsid w:val="0026588B"/>
    <w:rsid w:val="00272CC8"/>
    <w:rsid w:val="002A4677"/>
    <w:rsid w:val="002C6C7F"/>
    <w:rsid w:val="002D5AC2"/>
    <w:rsid w:val="002E0379"/>
    <w:rsid w:val="002E3C1E"/>
    <w:rsid w:val="002F5E47"/>
    <w:rsid w:val="0030067B"/>
    <w:rsid w:val="00302780"/>
    <w:rsid w:val="00312477"/>
    <w:rsid w:val="003129E1"/>
    <w:rsid w:val="00326F95"/>
    <w:rsid w:val="00341266"/>
    <w:rsid w:val="00345D0B"/>
    <w:rsid w:val="003509CB"/>
    <w:rsid w:val="0035649F"/>
    <w:rsid w:val="00364191"/>
    <w:rsid w:val="003715E1"/>
    <w:rsid w:val="003766FA"/>
    <w:rsid w:val="003A4434"/>
    <w:rsid w:val="003B5286"/>
    <w:rsid w:val="003B5D41"/>
    <w:rsid w:val="003B5F79"/>
    <w:rsid w:val="003C0AF2"/>
    <w:rsid w:val="003C50BA"/>
    <w:rsid w:val="003C7D35"/>
    <w:rsid w:val="003D38FA"/>
    <w:rsid w:val="003D68E8"/>
    <w:rsid w:val="003D755A"/>
    <w:rsid w:val="003E2EAA"/>
    <w:rsid w:val="003E58C2"/>
    <w:rsid w:val="003F1068"/>
    <w:rsid w:val="00400511"/>
    <w:rsid w:val="00402274"/>
    <w:rsid w:val="00421C1F"/>
    <w:rsid w:val="00426180"/>
    <w:rsid w:val="004467AE"/>
    <w:rsid w:val="004530C6"/>
    <w:rsid w:val="00455C05"/>
    <w:rsid w:val="00465B8D"/>
    <w:rsid w:val="00480611"/>
    <w:rsid w:val="004813E1"/>
    <w:rsid w:val="00483606"/>
    <w:rsid w:val="00487732"/>
    <w:rsid w:val="00490912"/>
    <w:rsid w:val="00492066"/>
    <w:rsid w:val="004A603A"/>
    <w:rsid w:val="004D2304"/>
    <w:rsid w:val="004D2375"/>
    <w:rsid w:val="00501B01"/>
    <w:rsid w:val="00521B87"/>
    <w:rsid w:val="0052427C"/>
    <w:rsid w:val="00537E2F"/>
    <w:rsid w:val="00542D18"/>
    <w:rsid w:val="00544242"/>
    <w:rsid w:val="0055064A"/>
    <w:rsid w:val="005549F3"/>
    <w:rsid w:val="005670A9"/>
    <w:rsid w:val="005A64D7"/>
    <w:rsid w:val="005C2074"/>
    <w:rsid w:val="005C4100"/>
    <w:rsid w:val="005D1274"/>
    <w:rsid w:val="005E1EC8"/>
    <w:rsid w:val="005E74C1"/>
    <w:rsid w:val="006002A0"/>
    <w:rsid w:val="00620F6E"/>
    <w:rsid w:val="006641B7"/>
    <w:rsid w:val="0066684C"/>
    <w:rsid w:val="00671591"/>
    <w:rsid w:val="00682414"/>
    <w:rsid w:val="0069173D"/>
    <w:rsid w:val="00704FE8"/>
    <w:rsid w:val="00714459"/>
    <w:rsid w:val="00733107"/>
    <w:rsid w:val="007377AC"/>
    <w:rsid w:val="00742CB8"/>
    <w:rsid w:val="00756B6F"/>
    <w:rsid w:val="007621F9"/>
    <w:rsid w:val="00766B91"/>
    <w:rsid w:val="00787F58"/>
    <w:rsid w:val="007B39CF"/>
    <w:rsid w:val="007C19A0"/>
    <w:rsid w:val="007D2D7E"/>
    <w:rsid w:val="007D5F60"/>
    <w:rsid w:val="007E3395"/>
    <w:rsid w:val="007F2D1C"/>
    <w:rsid w:val="007F717F"/>
    <w:rsid w:val="008040E5"/>
    <w:rsid w:val="00821FAD"/>
    <w:rsid w:val="008226BA"/>
    <w:rsid w:val="008252B1"/>
    <w:rsid w:val="00842770"/>
    <w:rsid w:val="00843BB3"/>
    <w:rsid w:val="00856FBA"/>
    <w:rsid w:val="008651FF"/>
    <w:rsid w:val="00870A82"/>
    <w:rsid w:val="008867DE"/>
    <w:rsid w:val="008903E0"/>
    <w:rsid w:val="00897107"/>
    <w:rsid w:val="008B1271"/>
    <w:rsid w:val="008B325E"/>
    <w:rsid w:val="008C1E40"/>
    <w:rsid w:val="008C241F"/>
    <w:rsid w:val="008C7A8F"/>
    <w:rsid w:val="008D0D3F"/>
    <w:rsid w:val="008D17FB"/>
    <w:rsid w:val="008D3EA2"/>
    <w:rsid w:val="008E45C6"/>
    <w:rsid w:val="008E464E"/>
    <w:rsid w:val="008F0876"/>
    <w:rsid w:val="008F20B1"/>
    <w:rsid w:val="008F5621"/>
    <w:rsid w:val="00900AAA"/>
    <w:rsid w:val="0091313D"/>
    <w:rsid w:val="00935D68"/>
    <w:rsid w:val="00941FD5"/>
    <w:rsid w:val="009561EA"/>
    <w:rsid w:val="00964A0D"/>
    <w:rsid w:val="009717A9"/>
    <w:rsid w:val="00977494"/>
    <w:rsid w:val="009A50B3"/>
    <w:rsid w:val="009B4647"/>
    <w:rsid w:val="00A0742A"/>
    <w:rsid w:val="00A5712D"/>
    <w:rsid w:val="00A65952"/>
    <w:rsid w:val="00AA1BF7"/>
    <w:rsid w:val="00AA2DC9"/>
    <w:rsid w:val="00AA5684"/>
    <w:rsid w:val="00AC04E7"/>
    <w:rsid w:val="00AC796B"/>
    <w:rsid w:val="00AD43F6"/>
    <w:rsid w:val="00AD5B76"/>
    <w:rsid w:val="00AE04E8"/>
    <w:rsid w:val="00AF4489"/>
    <w:rsid w:val="00B07287"/>
    <w:rsid w:val="00B10341"/>
    <w:rsid w:val="00B15A66"/>
    <w:rsid w:val="00B17622"/>
    <w:rsid w:val="00B360E9"/>
    <w:rsid w:val="00B36AFA"/>
    <w:rsid w:val="00B406F5"/>
    <w:rsid w:val="00B4268C"/>
    <w:rsid w:val="00B51CA0"/>
    <w:rsid w:val="00B71EFA"/>
    <w:rsid w:val="00B91BE2"/>
    <w:rsid w:val="00BB0DFD"/>
    <w:rsid w:val="00BB6B42"/>
    <w:rsid w:val="00BD0EFA"/>
    <w:rsid w:val="00BE12C2"/>
    <w:rsid w:val="00BE2C7D"/>
    <w:rsid w:val="00BF102B"/>
    <w:rsid w:val="00C216BA"/>
    <w:rsid w:val="00C31295"/>
    <w:rsid w:val="00C33192"/>
    <w:rsid w:val="00C53197"/>
    <w:rsid w:val="00C65BB5"/>
    <w:rsid w:val="00C6675F"/>
    <w:rsid w:val="00CA0E5A"/>
    <w:rsid w:val="00CB3069"/>
    <w:rsid w:val="00CB37B2"/>
    <w:rsid w:val="00CC2E36"/>
    <w:rsid w:val="00CC77B5"/>
    <w:rsid w:val="00CE48EB"/>
    <w:rsid w:val="00CE7FE0"/>
    <w:rsid w:val="00CF2251"/>
    <w:rsid w:val="00D17E17"/>
    <w:rsid w:val="00D334B7"/>
    <w:rsid w:val="00D3773B"/>
    <w:rsid w:val="00D95312"/>
    <w:rsid w:val="00D97EA9"/>
    <w:rsid w:val="00DC57EA"/>
    <w:rsid w:val="00DD30DC"/>
    <w:rsid w:val="00DD598A"/>
    <w:rsid w:val="00DF6553"/>
    <w:rsid w:val="00E1311F"/>
    <w:rsid w:val="00E2599D"/>
    <w:rsid w:val="00E3754A"/>
    <w:rsid w:val="00E56A60"/>
    <w:rsid w:val="00E61F24"/>
    <w:rsid w:val="00E7232C"/>
    <w:rsid w:val="00E758A7"/>
    <w:rsid w:val="00E776C1"/>
    <w:rsid w:val="00E82952"/>
    <w:rsid w:val="00E82DA7"/>
    <w:rsid w:val="00E96A94"/>
    <w:rsid w:val="00EA5936"/>
    <w:rsid w:val="00EE1303"/>
    <w:rsid w:val="00EE1D4D"/>
    <w:rsid w:val="00EF6EC8"/>
    <w:rsid w:val="00F013F4"/>
    <w:rsid w:val="00F01B1F"/>
    <w:rsid w:val="00F11EAD"/>
    <w:rsid w:val="00F130BB"/>
    <w:rsid w:val="00F21E90"/>
    <w:rsid w:val="00F3265C"/>
    <w:rsid w:val="00F52E02"/>
    <w:rsid w:val="00F62C96"/>
    <w:rsid w:val="00F74210"/>
    <w:rsid w:val="00F85895"/>
    <w:rsid w:val="00FA7535"/>
    <w:rsid w:val="00FA7BBF"/>
    <w:rsid w:val="00FC62E5"/>
    <w:rsid w:val="00FE4A7C"/>
    <w:rsid w:val="00FE6390"/>
    <w:rsid w:val="00FE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203CB"/>
  <w15:chartTrackingRefBased/>
  <w15:docId w15:val="{EBB56CB2-4D58-4ABD-94CD-C5A29F06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0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49EF"/>
  </w:style>
  <w:style w:type="paragraph" w:styleId="Pieddepage">
    <w:name w:val="footer"/>
    <w:basedOn w:val="Normal"/>
    <w:link w:val="PieddepageCar"/>
    <w:uiPriority w:val="99"/>
    <w:unhideWhenUsed/>
    <w:rsid w:val="0020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49EF"/>
  </w:style>
  <w:style w:type="character" w:styleId="Lienhypertexte">
    <w:name w:val="Hyperlink"/>
    <w:basedOn w:val="Policepardfaut"/>
    <w:uiPriority w:val="99"/>
    <w:unhideWhenUsed/>
    <w:rsid w:val="00F8589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www.urwerk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press@urwerk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FAA0-8B58-4135-9532-01F557FC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Yacine Sar</dc:creator>
  <cp:keywords/>
  <dc:description/>
  <cp:lastModifiedBy>Agence Russe de Trad</cp:lastModifiedBy>
  <cp:revision>8</cp:revision>
  <dcterms:created xsi:type="dcterms:W3CDTF">2022-08-12T07:00:00Z</dcterms:created>
  <dcterms:modified xsi:type="dcterms:W3CDTF">2022-08-12T16:11:00Z</dcterms:modified>
</cp:coreProperties>
</file>